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F" w:rsidRPr="00627B25" w:rsidRDefault="0051073F" w:rsidP="0051073F">
      <w:pPr>
        <w:rPr>
          <w:b/>
          <w:sz w:val="24"/>
          <w:szCs w:val="24"/>
        </w:rPr>
      </w:pPr>
      <w:r w:rsidRPr="005E541C">
        <w:rPr>
          <w:b/>
          <w:sz w:val="24"/>
          <w:szCs w:val="24"/>
        </w:rPr>
        <w:t xml:space="preserve">Příloha č. </w:t>
      </w:r>
      <w:r>
        <w:rPr>
          <w:b/>
          <w:sz w:val="24"/>
          <w:szCs w:val="24"/>
        </w:rPr>
        <w:t>3</w:t>
      </w:r>
      <w:r w:rsidRPr="005E541C">
        <w:rPr>
          <w:b/>
          <w:sz w:val="24"/>
          <w:szCs w:val="24"/>
        </w:rPr>
        <w:t xml:space="preserve"> – Hodnotící kritéria</w:t>
      </w:r>
    </w:p>
    <w:p w:rsidR="0051073F" w:rsidRPr="00B37AF4" w:rsidRDefault="0051073F" w:rsidP="0051073F">
      <w:pPr>
        <w:pStyle w:val="Text"/>
        <w:spacing w:before="0"/>
        <w:ind w:firstLine="0"/>
        <w:jc w:val="center"/>
        <w:rPr>
          <w:rFonts w:ascii="Calibri" w:hAnsi="Calibri"/>
          <w:b/>
          <w:color w:val="0066FF"/>
        </w:rPr>
      </w:pPr>
      <w:r w:rsidRPr="00B37AF4">
        <w:rPr>
          <w:rFonts w:ascii="Calibri" w:hAnsi="Calibri"/>
          <w:b/>
          <w:color w:val="0066FF"/>
        </w:rPr>
        <w:t>Komentář k jednotlivým hlediskům</w:t>
      </w:r>
    </w:p>
    <w:tbl>
      <w:tblPr>
        <w:tblW w:w="9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9076"/>
      </w:tblGrid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  <w:hideMark/>
          </w:tcPr>
          <w:p w:rsidR="0051073F" w:rsidRPr="00B37AF4" w:rsidRDefault="0051073F" w:rsidP="00A51975">
            <w:pPr>
              <w:pStyle w:val="Nadpis6"/>
              <w:numPr>
                <w:ilvl w:val="0"/>
                <w:numId w:val="0"/>
              </w:numPr>
              <w:spacing w:before="0" w:line="256" w:lineRule="auto"/>
              <w:ind w:left="3132"/>
              <w:rPr>
                <w:b/>
                <w:color w:val="auto"/>
                <w:lang w:eastAsia="cs-CZ"/>
              </w:rPr>
            </w:pPr>
            <w:r w:rsidRPr="00B37AF4">
              <w:rPr>
                <w:b/>
                <w:color w:val="auto"/>
                <w:lang w:eastAsia="cs-CZ"/>
              </w:rPr>
              <w:t>Hledisko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7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  <w:hideMark/>
          </w:tcPr>
          <w:p w:rsidR="0051073F" w:rsidRPr="0043215C" w:rsidRDefault="0051073F" w:rsidP="00A51975">
            <w:pPr>
              <w:pStyle w:val="Nadpis6"/>
              <w:numPr>
                <w:ilvl w:val="0"/>
                <w:numId w:val="0"/>
              </w:numPr>
              <w:spacing w:before="0" w:line="256" w:lineRule="auto"/>
              <w:jc w:val="center"/>
              <w:rPr>
                <w:b/>
                <w:sz w:val="18"/>
                <w:lang w:eastAsia="cs-CZ"/>
              </w:rPr>
            </w:pPr>
            <w:r w:rsidRPr="00B37AF4">
              <w:rPr>
                <w:rFonts w:ascii="Calibri" w:hAnsi="Calibri" w:cs="Calibri"/>
                <w:b/>
                <w:sz w:val="18"/>
                <w:lang w:eastAsia="cs-CZ"/>
              </w:rPr>
              <w:t>Počet</w:t>
            </w:r>
            <w:r w:rsidRPr="0043215C">
              <w:rPr>
                <w:b/>
                <w:sz w:val="18"/>
                <w:lang w:eastAsia="cs-CZ"/>
              </w:rPr>
              <w:t xml:space="preserve"> </w:t>
            </w:r>
            <w:proofErr w:type="spellStart"/>
            <w:r w:rsidRPr="0043215C">
              <w:rPr>
                <w:b/>
                <w:sz w:val="18"/>
                <w:lang w:eastAsia="cs-CZ"/>
              </w:rPr>
              <w:t>b</w:t>
            </w:r>
            <w:proofErr w:type="spellEnd"/>
            <w:r w:rsidRPr="0043215C">
              <w:rPr>
                <w:b/>
                <w:sz w:val="18"/>
                <w:lang w:eastAsia="cs-CZ"/>
              </w:rPr>
              <w:t>.</w:t>
            </w:r>
          </w:p>
        </w:tc>
        <w:tc>
          <w:tcPr>
            <w:tcW w:w="9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:rsidR="0051073F" w:rsidRPr="0043215C" w:rsidRDefault="0051073F" w:rsidP="00A51975">
            <w:pPr>
              <w:rPr>
                <w:sz w:val="18"/>
              </w:rPr>
            </w:pPr>
            <w:r w:rsidRPr="0043215C">
              <w:rPr>
                <w:sz w:val="18"/>
              </w:rPr>
              <w:t>Charakteristika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 xml:space="preserve">Shoda s cílem programu  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Celý projekt je v přímém rozporu s cílem programu. Projekt neobsahuje údaje, podle kterých by bylo možno posoudit úroveň splnění hlediska.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cílem programu, větší část aktivit – položek s požadavkem na dotaci je zaměřena mimo cíl programu.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cílem programu, přibližně polovina aktivit – položek s požadavkem na dotaci je zaměřena mimo cíl programu.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cílem programu, menší část aktivit – položek s požadavkem na dotaci je zaměřena mimo cíl programu.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plně v souladu s cílem programu.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Stanovení cíle, resp. cílů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rozporu s cíli dotační politiky ministerstva a Strategického dialogu nebo projekt neobsahuje údaje, podle kterých by bylo možno tato hlediska posoudit.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částečně v rozporu s cíli Strategického dialogu nebo projekt neobsahuje údaje, podle kterých by bylo možno tato hlediska posoudit.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cíli Strategického dialogu, větší část požadovaných dotovaných aktivit je zaměřena mimo tyto cíle.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cíli Strategického dialogu, přibližně polovina požadovaných dotovaných aktivit je zaměřena mimo tyto cíle.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v částečném souladu s cíli Strategického dialogu, menší část požadovaných dotovaných aktivit je zaměřena mimo tyto cíle.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plně v souladu s cíli dotační politiky ministerstva a Strategického dialogu</w:t>
            </w:r>
            <w:r>
              <w:rPr>
                <w:rFonts w:ascii="Calibri" w:hAnsi="Calibri"/>
                <w:lang w:eastAsia="en-US"/>
              </w:rPr>
              <w:t>.</w:t>
            </w:r>
            <w:r w:rsidRPr="005E541C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Dopad projektu na cílové skupiny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Cílová skupina ani její rozsah není v projektu specifikován.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se zaměřením na konkrétní cílovou skupinu (nebo několik skupin), ale rozsah cílové skupiny není v projektu specifikován.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se zaměřením na jednu, relativně úzkou, cílovou skupinu, a rozsah cílové skupiny je spíše obecně v projektu specifikován.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se zaměřením na jednu, relativně úzkou, cílovou skupinu, a rozsah cílové skupiny je dobře v projektu specifikován.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zcela jasně specifikuje zaměření na více cílových skupin a jejich rozsah je spíše obecně v projektu specifikován.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zcela jasně specifikuje zaměření na více cílových skupin a jejich rozsah je dobře v projektu specifikován.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Kvalita projektu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ve zcela nedostatečném rozsahu, jednotlivé parametry projektu jsou popsány nesrozumitelně nebo jen velmi obecně, popis projektu neobsahuje všechny požadované části.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ale je nekonkrétní.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Většina částí projektu je zpracována v dostatečném rozsahu, jednotlivé parametry projektu jsou popsány velmi stručně nebo pouze obecně, popis projektu neobsahuje všechny požadované části.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jednotlivé parametry projektu jsou popsány velmi stručně nebo pouze obecně, popis projektu neobsahuje většinu požadovaných částí.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jednotlivé parametry projektu jsou popsány spíše stručně nebo obecně, popis projektu obsahuje většinu požadovaných částí.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6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zpracován v dostatečném rozsahu, popis jednotlivých parametrů projektu není vyvážený, některé části jsou popsány pouze obecně, popis projektu obsahuje většinu požadovaných částí.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7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popis jednotlivých parametrů projektu není vyvážený, některé části jsou popsány pouze obecně, popis projektu obsahuje všechny požadované části.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8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jednotlivé parametry projektu jsou popsány konkrétně a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>srozumitelně, popis projektu obsahuje všechny požadované části.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9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jednotlivé parametry projektu jsou popsány konkrétně, popis projektu obsahuje všechny požadované části.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lastRenderedPageBreak/>
              <w:t>10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Všechny části projektu jsou zpracovány v dostatečném rozsahu, jednotlivé parametry projektu jsou popsány podrobně a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>konkrétně a srozumitelně a tvoří vyvážený systémový celek, popis projektu obsahuje všechny požadované části.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Reálnost projektu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Záměr projektu, resp. jednotlivé dílčí části neskýtají záruku úspěšného řešení a dosažení stanovených cílů projektu.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větší nedostatky, které zkomplikují naplnění stanovených cílů projektu.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drobné nedostatky, které mohou komplikovat naplnění stanovených cílů projektu.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V členění projektu a provázanosti jednotlivých dílčích částí jsou jednotlivé nedostatky, které ale nebudou komplikovat naplnění stanovených cílů projektu.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4-5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je správně strukturován na dílčí části se vzájemnou logickou návazností a propojeností, tím je zabezpečeno splnění plánovaných cílů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Odborná úroveň zajištění projektu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nevychází z reálných předpokladů; odborné zajištění projektu je nízké a neposkytuje dostatečné záruky pro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>úspěšnou realizaci projektu.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nereálných předpokladů; sice naplňuje zadání vyhlášeného programu, ale odborná stránka projektu je místy nevyvážená; úspěšná realizaci projektu je spíše nepravděpodobná.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reálných předpokladů; naplňuje zadání vyhlášeného programu, odborná stránka projektu je místy nevyvážená; úspěšná realizaci projektu je spíše pravděpodobná.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reálných předpokladů; reaguje na současnou společenskou potřebu v oblasti česko-německé spolupráce, ale nepřináší nové přístupy; odborná stránka projektu je spíše na dobré úrovni a předpoklady pro úspěšnou realizaci projektu jsou spíše dostatečné.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reálných předpokladů; reaguje na současnou společenskou potřebu v oblasti česko-německé spolupráce, splňuje požadavky metodiky a přináší nové přístupy; odborná stránka je na velmi dobré úrovni a vytváří dostatečné předpoklady pro úspěšnou realizaci projektu.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vychází z reálných předpokladů; reaguje na současnou společenskou potřebu v oblasti česko-německé spolupráce, splňuje požadavky metodiky a přináší nové přístupy; za projektem jsou také garance významných institucí hrající důležitou roli v česko-německé spolupráci, odborná stránka projektu je na velmi dobré úrovni a vytváří ideální předpoklady pro</w:t>
            </w:r>
            <w:r>
              <w:rPr>
                <w:rFonts w:ascii="Calibri" w:hAnsi="Calibri"/>
                <w:lang w:eastAsia="en-US"/>
              </w:rPr>
              <w:t> </w:t>
            </w:r>
            <w:r w:rsidRPr="005E541C">
              <w:rPr>
                <w:rFonts w:ascii="Calibri" w:hAnsi="Calibri"/>
                <w:lang w:eastAsia="en-US"/>
              </w:rPr>
              <w:t xml:space="preserve">úspěšnou realizaci projektu. 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Zkušenost s česko-německou spoluprací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nemá žádnou zkušenost.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prokázala pouze jednu jednorázovou akci menšího rozsahu v oblasti česko-německé spolupráce.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prokázala pouze jednu jednorázovou akci většího rozsahu v oblasti česko-německé spolupráce.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Organizace prokázala pravidelnou česko-německou spolupráci spíše menšího rozsahu. 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prokázala pravidelnou česko-německou spolupráci akcí spíše většího rozsahu.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prokázala dlouholeté zkušenosti v rámci pravidelné česko-německé spolupráce při akcí spíše většího dopadu s velkým množstvím zahraničních partnerů.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Partnerství se zahraničními organizacemi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Projekt nemá žádného partnera na německé straně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1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Partnerství s organizacemi na německé straně je velmi vágně popsáno.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má partnerství pouze s menšími organizacemi na německé straně.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má partnerství také s významnějšími organizacemi na německé straně.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má navázanou systematickou spolupráci s německými organizacemi.</w:t>
            </w:r>
          </w:p>
        </w:tc>
      </w:tr>
      <w:tr w:rsidR="0051073F" w:rsidRPr="0043215C" w:rsidTr="00A51975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Organizace má navázanou systematickou spolupráci s německými organizacemi a může prokázat podporu Velvyslanectví SRN v Praze.</w:t>
            </w:r>
          </w:p>
        </w:tc>
      </w:tr>
      <w:tr w:rsidR="0051073F" w:rsidRPr="0043215C" w:rsidTr="00A51975">
        <w:trPr>
          <w:cantSplit/>
          <w:trHeight w:hRule="exact" w:val="284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51073F" w:rsidRPr="00B37AF4" w:rsidRDefault="0051073F" w:rsidP="0051073F">
            <w:pPr>
              <w:pStyle w:val="Nadpis6"/>
              <w:numPr>
                <w:ilvl w:val="0"/>
                <w:numId w:val="2"/>
              </w:numPr>
              <w:spacing w:before="0" w:line="256" w:lineRule="auto"/>
              <w:rPr>
                <w:color w:val="0066FF"/>
                <w:lang w:eastAsia="cs-CZ"/>
              </w:rPr>
            </w:pPr>
            <w:r w:rsidRPr="00B37AF4">
              <w:rPr>
                <w:color w:val="0066FF"/>
                <w:lang w:eastAsia="cs-CZ"/>
              </w:rPr>
              <w:t>Rozpočet projektu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0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velmi obecně a zmatečně.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2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nedostatečném členění, nelze posoudit přiměřenost nákladů.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minimálním předepsaném rozsahu, odůvodnění položek není uvedeno, nelze posoudit</w:t>
            </w:r>
            <w:r>
              <w:rPr>
                <w:rFonts w:ascii="Calibri" w:hAnsi="Calibri"/>
                <w:lang w:eastAsia="en-US"/>
              </w:rPr>
              <w:t>.</w:t>
            </w:r>
            <w:r w:rsidRPr="005E541C">
              <w:rPr>
                <w:rFonts w:ascii="Calibri" w:hAnsi="Calibri"/>
                <w:lang w:eastAsia="en-US"/>
              </w:rPr>
              <w:t xml:space="preserve"> </w:t>
            </w:r>
            <w:proofErr w:type="gramStart"/>
            <w:r w:rsidRPr="005E541C">
              <w:rPr>
                <w:rFonts w:ascii="Calibri" w:hAnsi="Calibri"/>
                <w:lang w:eastAsia="en-US"/>
              </w:rPr>
              <w:t>oprávněnost</w:t>
            </w:r>
            <w:proofErr w:type="gramEnd"/>
            <w:r w:rsidRPr="005E541C">
              <w:rPr>
                <w:rFonts w:ascii="Calibri" w:hAnsi="Calibri"/>
                <w:lang w:eastAsia="en-US"/>
              </w:rPr>
              <w:t xml:space="preserve"> nákladů.</w:t>
            </w:r>
          </w:p>
        </w:tc>
      </w:tr>
      <w:tr w:rsidR="0051073F" w:rsidRPr="0043215C" w:rsidTr="00A51975">
        <w:trPr>
          <w:trHeight w:hRule="exact" w:val="475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>Rozpočet je zpracován v dostatečném rozsahu, odůvodnění je nedostatečné, je uvedeno jen u některých položek, nelze posoudit oprávněnost všech nákladů.</w:t>
            </w:r>
          </w:p>
        </w:tc>
      </w:tr>
      <w:tr w:rsidR="0051073F" w:rsidRPr="0043215C" w:rsidTr="00A51975">
        <w:trPr>
          <w:trHeight w:hRule="exact" w:val="227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3F" w:rsidRPr="005E541C" w:rsidRDefault="0051073F" w:rsidP="00A51975">
            <w:pPr>
              <w:pStyle w:val="Texttabulka"/>
              <w:spacing w:before="0" w:line="256" w:lineRule="auto"/>
              <w:jc w:val="center"/>
              <w:rPr>
                <w:rFonts w:ascii="Calibri" w:hAnsi="Calibri"/>
              </w:rPr>
            </w:pPr>
            <w:r w:rsidRPr="005E541C">
              <w:rPr>
                <w:rFonts w:ascii="Calibri" w:hAnsi="Calibri"/>
              </w:rPr>
              <w:t>5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73F" w:rsidRPr="005E541C" w:rsidRDefault="0051073F" w:rsidP="00A51975">
            <w:pPr>
              <w:pStyle w:val="Texttabulkaoby9"/>
              <w:spacing w:before="0" w:line="256" w:lineRule="auto"/>
              <w:rPr>
                <w:rFonts w:ascii="Calibri" w:hAnsi="Calibri"/>
                <w:lang w:eastAsia="en-US"/>
              </w:rPr>
            </w:pPr>
            <w:r w:rsidRPr="005E541C">
              <w:rPr>
                <w:rFonts w:ascii="Calibri" w:hAnsi="Calibri"/>
                <w:lang w:eastAsia="en-US"/>
              </w:rPr>
              <w:t xml:space="preserve"> Rozpočet je zpracován v dostatečném rozsahu, položky jsou řádně zdůvodněné, oprávněnost je možno posoudit.</w:t>
            </w:r>
          </w:p>
        </w:tc>
      </w:tr>
      <w:tr w:rsidR="0051073F" w:rsidRPr="0043215C" w:rsidTr="00A51975">
        <w:trPr>
          <w:cantSplit/>
          <w:trHeight w:hRule="exact" w:val="479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1073F" w:rsidRPr="00B37AF4" w:rsidRDefault="0051073F" w:rsidP="00A51975">
            <w:pPr>
              <w:pStyle w:val="Nadpis6"/>
              <w:numPr>
                <w:ilvl w:val="0"/>
                <w:numId w:val="0"/>
              </w:numPr>
              <w:spacing w:before="0" w:line="256" w:lineRule="auto"/>
              <w:ind w:left="3132" w:hanging="1152"/>
              <w:rPr>
                <w:b/>
                <w:color w:val="0066FF"/>
                <w:lang w:eastAsia="cs-CZ"/>
              </w:rPr>
            </w:pPr>
            <w:r w:rsidRPr="00B37AF4">
              <w:rPr>
                <w:b/>
                <w:color w:val="0066FF"/>
                <w:lang w:eastAsia="cs-CZ"/>
              </w:rPr>
              <w:t>Maximální počet bodů: 50</w:t>
            </w:r>
          </w:p>
        </w:tc>
      </w:tr>
    </w:tbl>
    <w:p w:rsidR="0051073F" w:rsidRDefault="0051073F" w:rsidP="0051073F">
      <w:pPr>
        <w:spacing w:line="360" w:lineRule="auto"/>
        <w:rPr>
          <w:rStyle w:val="Hypertextovodkaz"/>
          <w:noProof/>
        </w:rPr>
      </w:pPr>
    </w:p>
    <w:p w:rsidR="00A112BB" w:rsidRDefault="0051073F"/>
    <w:sectPr w:rsidR="00A112BB" w:rsidSect="000103F1">
      <w:headerReference w:type="default" r:id="rId5"/>
      <w:footerReference w:type="default" r:id="rId6"/>
      <w:pgSz w:w="11907" w:h="16839" w:code="9"/>
      <w:pgMar w:top="1276" w:right="1134" w:bottom="1418" w:left="1134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1D" w:rsidRDefault="0051073F">
    <w:pPr>
      <w:pStyle w:val="Zpat"/>
      <w:jc w:val="center"/>
    </w:pPr>
    <w:r w:rsidRPr="002E699D">
      <w:rPr>
        <w:sz w:val="20"/>
        <w:szCs w:val="20"/>
      </w:rPr>
      <w:fldChar w:fldCharType="begin"/>
    </w:r>
    <w:r w:rsidRPr="002E699D">
      <w:rPr>
        <w:sz w:val="20"/>
        <w:szCs w:val="20"/>
      </w:rPr>
      <w:instrText>PAGE   \* MERGEFORMAT</w:instrText>
    </w:r>
    <w:r w:rsidRPr="002E699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E699D">
      <w:rPr>
        <w:noProof/>
        <w:sz w:val="20"/>
        <w:szCs w:val="20"/>
      </w:rPr>
      <w:fldChar w:fldCharType="end"/>
    </w:r>
  </w:p>
  <w:p w:rsidR="000C1A1D" w:rsidRDefault="0051073F">
    <w:pPr>
      <w:pStyle w:val="Zpat"/>
    </w:pPr>
  </w:p>
  <w:p w:rsidR="000C1A1D" w:rsidRDefault="0051073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1D" w:rsidRDefault="0051073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abstractNum w:abstractNumId="1">
    <w:nsid w:val="389442B2"/>
    <w:multiLevelType w:val="hybridMultilevel"/>
    <w:tmpl w:val="1EDC364C"/>
    <w:lvl w:ilvl="0" w:tplc="F05C983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1073F"/>
    <w:rsid w:val="000C5E0B"/>
    <w:rsid w:val="00245CED"/>
    <w:rsid w:val="00387861"/>
    <w:rsid w:val="0051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73F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51073F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="Times New Roman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1073F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1073F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51073F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nhideWhenUsed/>
    <w:qFormat/>
    <w:rsid w:val="0051073F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dpis6">
    <w:name w:val="heading 6"/>
    <w:basedOn w:val="Normln"/>
    <w:next w:val="Normln"/>
    <w:link w:val="Nadpis6Char"/>
    <w:unhideWhenUsed/>
    <w:qFormat/>
    <w:rsid w:val="0051073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nhideWhenUsed/>
    <w:qFormat/>
    <w:rsid w:val="0051073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73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73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073F"/>
    <w:rPr>
      <w:rFonts w:ascii="Calibri" w:eastAsia="Times New Roman" w:hAnsi="Calibri" w:cs="Times New Roman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51073F"/>
    <w:rPr>
      <w:rFonts w:ascii="Calibri" w:eastAsia="Times New Roman" w:hAnsi="Calibri" w:cs="Times New Roman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51073F"/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1073F"/>
    <w:rPr>
      <w:rFonts w:ascii="Cambria" w:eastAsia="Times New Roman" w:hAnsi="Cambria" w:cs="Times New Roman"/>
      <w:i/>
      <w:iCs/>
      <w:color w:val="365F91"/>
    </w:rPr>
  </w:style>
  <w:style w:type="character" w:customStyle="1" w:styleId="Nadpis5Char">
    <w:name w:val="Nadpis 5 Char"/>
    <w:basedOn w:val="Standardnpsmoodstavce"/>
    <w:link w:val="Nadpis5"/>
    <w:rsid w:val="0051073F"/>
    <w:rPr>
      <w:rFonts w:ascii="Cambria" w:eastAsia="Times New Roman" w:hAnsi="Cambria" w:cs="Times New Roman"/>
      <w:color w:val="365F91"/>
    </w:rPr>
  </w:style>
  <w:style w:type="character" w:customStyle="1" w:styleId="Nadpis6Char">
    <w:name w:val="Nadpis 6 Char"/>
    <w:basedOn w:val="Standardnpsmoodstavce"/>
    <w:link w:val="Nadpis6"/>
    <w:rsid w:val="0051073F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Standardnpsmoodstavce"/>
    <w:link w:val="Nadpis7"/>
    <w:rsid w:val="0051073F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73F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73F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ypertextovodkaz">
    <w:name w:val="Hyperlink"/>
    <w:uiPriority w:val="99"/>
    <w:rsid w:val="0051073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1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3F"/>
    <w:rPr>
      <w:rFonts w:ascii="Calibri" w:eastAsia="Calibri" w:hAnsi="Calibri" w:cs="Times New Roman"/>
    </w:rPr>
  </w:style>
  <w:style w:type="paragraph" w:customStyle="1" w:styleId="Texttabulka">
    <w:name w:val="Text tabulka"/>
    <w:basedOn w:val="Nadpis4"/>
    <w:rsid w:val="0051073F"/>
    <w:pPr>
      <w:keepNext w:val="0"/>
      <w:keepLines w:val="0"/>
      <w:numPr>
        <w:ilvl w:val="0"/>
        <w:numId w:val="0"/>
      </w:numPr>
      <w:spacing w:before="120" w:line="240" w:lineRule="auto"/>
    </w:pPr>
    <w:rPr>
      <w:rFonts w:ascii="Arial Narrow" w:hAnsi="Arial Narrow"/>
      <w:i w:val="0"/>
      <w:iCs w:val="0"/>
      <w:color w:val="auto"/>
      <w:sz w:val="20"/>
      <w:szCs w:val="20"/>
      <w:lang w:eastAsia="cs-CZ"/>
    </w:rPr>
  </w:style>
  <w:style w:type="paragraph" w:customStyle="1" w:styleId="Text">
    <w:name w:val="Text"/>
    <w:basedOn w:val="Normln"/>
    <w:rsid w:val="0051073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oby9">
    <w:name w:val="Text tabulka obyč 9"/>
    <w:basedOn w:val="Normln"/>
    <w:rsid w:val="0051073F"/>
    <w:pPr>
      <w:keepLines/>
      <w:spacing w:before="120" w:after="0" w:line="240" w:lineRule="auto"/>
      <w:outlineLvl w:val="3"/>
    </w:pPr>
    <w:rPr>
      <w:rFonts w:ascii="Arial Narrow" w:eastAsia="Times New Roman" w:hAnsi="Arial Narrow"/>
      <w:sz w:val="1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1198</Words>
  <Characters>7075</Characters>
  <Application>Microsoft Office Word</Application>
  <DocSecurity>0</DocSecurity>
  <Lines>58</Lines>
  <Paragraphs>16</Paragraphs>
  <ScaleCrop>false</ScaleCrop>
  <Company>HP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2020-12-18T07:13:00Z</dcterms:created>
  <dcterms:modified xsi:type="dcterms:W3CDTF">2020-12-18T07:15:00Z</dcterms:modified>
</cp:coreProperties>
</file>