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0569" w14:textId="7C417133" w:rsidR="00353A8D" w:rsidRDefault="00353A8D" w:rsidP="00995695">
      <w:pPr>
        <w:pStyle w:val="Nadpis2"/>
        <w:spacing w:before="0" w:after="120" w:line="240" w:lineRule="auto"/>
        <w:jc w:val="center"/>
        <w:rPr>
          <w:b/>
          <w:color w:val="31849B"/>
        </w:rPr>
      </w:pPr>
      <w:r>
        <w:rPr>
          <w:b/>
          <w:color w:val="31849B"/>
        </w:rPr>
        <w:t xml:space="preserve">Podmínky akreditace pro </w:t>
      </w:r>
      <w:r>
        <w:rPr>
          <w:rFonts w:ascii="Cambria" w:eastAsia="Cambria" w:hAnsi="Cambria" w:cs="Cambria"/>
          <w:b/>
          <w:color w:val="31849B"/>
        </w:rPr>
        <w:t xml:space="preserve">rekvalifikační kurz </w:t>
      </w:r>
      <w:r w:rsidR="00995695">
        <w:rPr>
          <w:rFonts w:ascii="Cambria" w:eastAsia="Cambria" w:hAnsi="Cambria" w:cs="Cambria"/>
          <w:b/>
          <w:color w:val="31849B"/>
        </w:rPr>
        <w:t>D</w:t>
      </w:r>
      <w:r w:rsidR="00C6686C">
        <w:rPr>
          <w:rFonts w:ascii="Cambria" w:eastAsia="Cambria" w:hAnsi="Cambria" w:cs="Cambria"/>
          <w:b/>
          <w:color w:val="31849B"/>
        </w:rPr>
        <w:t>igitální gramotnost</w:t>
      </w:r>
    </w:p>
    <w:p w14:paraId="51F669AE" w14:textId="067B8CE8" w:rsidR="00353A8D" w:rsidRDefault="00353A8D" w:rsidP="00950A25">
      <w:pPr>
        <w:spacing w:after="120" w:line="240" w:lineRule="auto"/>
        <w:jc w:val="both"/>
        <w:rPr>
          <w:b/>
        </w:rPr>
      </w:pPr>
    </w:p>
    <w:p w14:paraId="4219EB0A" w14:textId="7D5FB34A" w:rsidR="00CB6DFD" w:rsidRDefault="00CF4204" w:rsidP="00950A25">
      <w:pPr>
        <w:spacing w:after="120" w:line="240" w:lineRule="auto"/>
        <w:jc w:val="both"/>
        <w:rPr>
          <w:b/>
        </w:rPr>
      </w:pPr>
      <w:r w:rsidRPr="00CF4204">
        <w:rPr>
          <w:b/>
        </w:rPr>
        <w:t>Název pracovní činnosti: „</w:t>
      </w:r>
      <w:r w:rsidR="00C6686C">
        <w:rPr>
          <w:b/>
        </w:rPr>
        <w:t>Digitální gramotnost</w:t>
      </w:r>
      <w:r w:rsidRPr="00CF4204">
        <w:rPr>
          <w:b/>
        </w:rPr>
        <w:t>“</w:t>
      </w:r>
    </w:p>
    <w:p w14:paraId="5B6E2640" w14:textId="482B04E9" w:rsidR="003E21F8" w:rsidRDefault="003E21F8" w:rsidP="00950A25">
      <w:pPr>
        <w:spacing w:after="120" w:line="240" w:lineRule="auto"/>
        <w:jc w:val="both"/>
        <w:rPr>
          <w:b/>
        </w:rPr>
      </w:pPr>
      <w:r w:rsidRPr="00CF4204">
        <w:rPr>
          <w:b/>
        </w:rPr>
        <w:t xml:space="preserve">Název </w:t>
      </w:r>
      <w:r>
        <w:rPr>
          <w:b/>
        </w:rPr>
        <w:t>rekvalifikačního programu</w:t>
      </w:r>
      <w:r w:rsidRPr="00CF4204">
        <w:rPr>
          <w:b/>
        </w:rPr>
        <w:t xml:space="preserve"> „</w:t>
      </w:r>
      <w:r>
        <w:rPr>
          <w:b/>
        </w:rPr>
        <w:t>Digitální gramotnost</w:t>
      </w:r>
      <w:r w:rsidRPr="00CF4204">
        <w:rPr>
          <w:b/>
        </w:rPr>
        <w:t>“</w:t>
      </w:r>
    </w:p>
    <w:p w14:paraId="3568400D" w14:textId="77777777" w:rsidR="00FD4246" w:rsidRDefault="00FD4246" w:rsidP="00950A25">
      <w:pPr>
        <w:spacing w:after="120" w:line="240" w:lineRule="auto"/>
        <w:jc w:val="both"/>
        <w:rPr>
          <w:b/>
        </w:rPr>
      </w:pPr>
    </w:p>
    <w:p w14:paraId="67AA5F87" w14:textId="71D9C525" w:rsidR="003417C8" w:rsidRDefault="00000000" w:rsidP="00950A25">
      <w:pPr>
        <w:spacing w:after="120" w:line="240" w:lineRule="auto"/>
        <w:jc w:val="both"/>
      </w:pPr>
      <w:sdt>
        <w:sdtPr>
          <w:tag w:val="goog_rdk_0"/>
          <w:id w:val="118122069"/>
        </w:sdtPr>
        <w:sdtContent/>
      </w:sdt>
      <w:r w:rsidR="00197CA5">
        <w:rPr>
          <w:b/>
        </w:rPr>
        <w:t>R</w:t>
      </w:r>
      <w:r w:rsidR="00353A8D">
        <w:rPr>
          <w:b/>
        </w:rPr>
        <w:t>ozsah</w:t>
      </w:r>
      <w:r w:rsidR="00197CA5">
        <w:rPr>
          <w:b/>
        </w:rPr>
        <w:t xml:space="preserve"> kurzu</w:t>
      </w:r>
      <w:r w:rsidR="00353A8D">
        <w:rPr>
          <w:b/>
        </w:rPr>
        <w:t>:</w:t>
      </w:r>
      <w:r w:rsidR="00353A8D">
        <w:t xml:space="preserve"> </w:t>
      </w:r>
      <w:r w:rsidR="00CB6DFD">
        <w:t>2</w:t>
      </w:r>
      <w:r w:rsidR="00F42DF0">
        <w:t>5</w:t>
      </w:r>
      <w:r w:rsidR="00CB6DFD">
        <w:t>–4</w:t>
      </w:r>
      <w:r w:rsidR="003417C8">
        <w:t>1</w:t>
      </w:r>
      <w:r w:rsidR="00353A8D">
        <w:t xml:space="preserve"> hodin </w:t>
      </w:r>
      <w:r w:rsidR="00B71E39">
        <w:t xml:space="preserve">teoretické </w:t>
      </w:r>
      <w:r w:rsidR="00353A8D">
        <w:t>výuky</w:t>
      </w:r>
      <w:r w:rsidR="003E21F8" w:rsidRPr="003E21F8">
        <w:t xml:space="preserve"> (1 hodina = 45 minut výuky). </w:t>
      </w:r>
      <w:bookmarkStart w:id="0" w:name="_Hlk128124359"/>
      <w:r w:rsidR="003E21F8" w:rsidRPr="003E21F8">
        <w:t>Praktická výuka není u</w:t>
      </w:r>
      <w:r w:rsidR="00FE18B2">
        <w:t> </w:t>
      </w:r>
      <w:r w:rsidR="003E21F8" w:rsidRPr="003E21F8">
        <w:t>těchto kurzů vyžadována. Procvičování probrané látky spadá do teoretické výuky.</w:t>
      </w:r>
      <w:bookmarkEnd w:id="0"/>
    </w:p>
    <w:p w14:paraId="6B5EA031" w14:textId="77777777" w:rsidR="00CB6DFD" w:rsidRDefault="00CB6DFD" w:rsidP="00950A25">
      <w:pPr>
        <w:spacing w:after="120" w:line="240" w:lineRule="auto"/>
        <w:jc w:val="both"/>
        <w:rPr>
          <w:b/>
        </w:rPr>
      </w:pPr>
    </w:p>
    <w:p w14:paraId="69218B03" w14:textId="67089E01" w:rsidR="00CB6DFD" w:rsidRDefault="00353A8D" w:rsidP="00950A25">
      <w:pPr>
        <w:spacing w:after="120" w:line="240" w:lineRule="auto"/>
        <w:jc w:val="both"/>
      </w:pPr>
      <w:r>
        <w:rPr>
          <w:b/>
        </w:rPr>
        <w:t xml:space="preserve">Maximální počet účastníků ve skupině: </w:t>
      </w:r>
      <w:r>
        <w:t xml:space="preserve">20 </w:t>
      </w:r>
      <w:r w:rsidR="00AC5980">
        <w:t>osob</w:t>
      </w:r>
      <w:r w:rsidR="003352C1">
        <w:t>.</w:t>
      </w:r>
    </w:p>
    <w:p w14:paraId="1A0EEF97" w14:textId="788F4EAC" w:rsidR="00353A8D" w:rsidRDefault="00353A8D" w:rsidP="00950A25">
      <w:pPr>
        <w:spacing w:after="120" w:line="240" w:lineRule="auto"/>
        <w:jc w:val="both"/>
      </w:pPr>
      <w:r>
        <w:rPr>
          <w:b/>
        </w:rPr>
        <w:t>Podmínky pro zařazení do kurzu:</w:t>
      </w:r>
      <w:r>
        <w:t xml:space="preserve"> </w:t>
      </w:r>
      <w:r w:rsidR="0037578C">
        <w:t xml:space="preserve">žádné, popř. </w:t>
      </w:r>
      <w:r>
        <w:t>určuje Úřad práce</w:t>
      </w:r>
    </w:p>
    <w:p w14:paraId="4A0A2ED3" w14:textId="6C7F10C3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Forma výuky: </w:t>
      </w:r>
      <w:r>
        <w:t xml:space="preserve">Vzdělávací </w:t>
      </w:r>
      <w:r w:rsidR="00B14E62">
        <w:t>zařízení</w:t>
      </w:r>
      <w:r>
        <w:t xml:space="preserve"> si může zvolit:</w:t>
      </w:r>
    </w:p>
    <w:p w14:paraId="03B32C9F" w14:textId="77777777" w:rsidR="00353A8D" w:rsidRPr="00964869" w:rsidRDefault="00353A8D" w:rsidP="00950A2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r w:rsidRPr="00964869">
        <w:rPr>
          <w:b/>
        </w:rPr>
        <w:t>prezenční formu,</w:t>
      </w:r>
    </w:p>
    <w:p w14:paraId="0FF3EE1D" w14:textId="77777777" w:rsidR="00B27CC9" w:rsidRDefault="00000000" w:rsidP="00B27CC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sdt>
        <w:sdtPr>
          <w:tag w:val="goog_rdk_2"/>
          <w:id w:val="1113330763"/>
        </w:sdtPr>
        <w:sdtContent/>
      </w:sdt>
      <w:r w:rsidR="004D4873" w:rsidRPr="00964869">
        <w:rPr>
          <w:b/>
        </w:rPr>
        <w:t xml:space="preserve">distanční </w:t>
      </w:r>
      <w:r w:rsidR="00353A8D" w:rsidRPr="00964869">
        <w:rPr>
          <w:b/>
        </w:rPr>
        <w:t>formu,</w:t>
      </w:r>
    </w:p>
    <w:p w14:paraId="67F8BC89" w14:textId="48E17D04" w:rsidR="00353A8D" w:rsidRPr="00B27CC9" w:rsidRDefault="00353A8D" w:rsidP="00B27CC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r w:rsidRPr="00B27CC9">
        <w:rPr>
          <w:b/>
        </w:rPr>
        <w:t>kombin</w:t>
      </w:r>
      <w:r w:rsidR="004C2CD5" w:rsidRPr="00B27CC9">
        <w:rPr>
          <w:b/>
        </w:rPr>
        <w:t>ova</w:t>
      </w:r>
      <w:r w:rsidR="008E1F29" w:rsidRPr="00B27CC9">
        <w:rPr>
          <w:b/>
        </w:rPr>
        <w:t>n</w:t>
      </w:r>
      <w:r w:rsidR="00B71E39" w:rsidRPr="00B27CC9">
        <w:rPr>
          <w:b/>
        </w:rPr>
        <w:t>ou</w:t>
      </w:r>
      <w:r w:rsidR="004C2CD5" w:rsidRPr="00B27CC9">
        <w:rPr>
          <w:b/>
        </w:rPr>
        <w:t xml:space="preserve"> form</w:t>
      </w:r>
      <w:r w:rsidR="00B71E39" w:rsidRPr="00B27CC9">
        <w:rPr>
          <w:b/>
        </w:rPr>
        <w:t>u</w:t>
      </w:r>
      <w:r w:rsidR="004C2CD5" w:rsidRPr="00B27CC9">
        <w:rPr>
          <w:b/>
        </w:rPr>
        <w:t xml:space="preserve"> (prezenční a distanční</w:t>
      </w:r>
      <w:r w:rsidR="00012FEB">
        <w:rPr>
          <w:b/>
        </w:rPr>
        <w:t xml:space="preserve"> část výuky</w:t>
      </w:r>
      <w:r w:rsidR="004C2CD5" w:rsidRPr="00B27CC9">
        <w:rPr>
          <w:b/>
        </w:rPr>
        <w:t>).</w:t>
      </w:r>
    </w:p>
    <w:p w14:paraId="453D370C" w14:textId="77777777" w:rsidR="00CB6DFD" w:rsidRPr="00964869" w:rsidRDefault="00CB6DFD" w:rsidP="00CB6DFD">
      <w:pPr>
        <w:pStyle w:val="Odstavecseseznamem"/>
        <w:spacing w:after="120" w:line="240" w:lineRule="auto"/>
        <w:contextualSpacing w:val="0"/>
        <w:jc w:val="both"/>
        <w:rPr>
          <w:b/>
        </w:rPr>
      </w:pPr>
    </w:p>
    <w:p w14:paraId="3C183A44" w14:textId="11994A23" w:rsidR="00157665" w:rsidRDefault="00157665" w:rsidP="00950A25">
      <w:pPr>
        <w:spacing w:after="120" w:line="240" w:lineRule="auto"/>
        <w:jc w:val="both"/>
        <w:rPr>
          <w:b/>
        </w:rPr>
      </w:pPr>
      <w:r>
        <w:rPr>
          <w:b/>
        </w:rPr>
        <w:t xml:space="preserve">U distanční a kombinované formy je nutno dodržovat metodiku MŠMT, odkaz </w:t>
      </w:r>
      <w:hyperlink r:id="rId8" w:history="1">
        <w:r w:rsidRPr="00157665">
          <w:rPr>
            <w:rStyle w:val="Hypertextovodkaz"/>
            <w:b/>
          </w:rPr>
          <w:t>zde</w:t>
        </w:r>
      </w:hyperlink>
      <w:r w:rsidR="003352C1">
        <w:rPr>
          <w:rStyle w:val="Hypertextovodkaz"/>
          <w:b/>
        </w:rPr>
        <w:t>.</w:t>
      </w:r>
      <w:r>
        <w:rPr>
          <w:b/>
        </w:rPr>
        <w:t xml:space="preserve"> </w:t>
      </w:r>
    </w:p>
    <w:p w14:paraId="48A83931" w14:textId="77777777" w:rsidR="00FD4246" w:rsidRDefault="00FD4246" w:rsidP="00950A25">
      <w:pPr>
        <w:spacing w:after="120" w:line="240" w:lineRule="auto"/>
        <w:jc w:val="both"/>
        <w:rPr>
          <w:b/>
        </w:rPr>
      </w:pPr>
    </w:p>
    <w:p w14:paraId="6609FEFD" w14:textId="0D1AD9AF" w:rsidR="00353A8D" w:rsidRDefault="00353A8D" w:rsidP="00950A25">
      <w:pPr>
        <w:spacing w:after="120" w:line="240" w:lineRule="auto"/>
        <w:jc w:val="both"/>
        <w:rPr>
          <w:bCs/>
        </w:rPr>
      </w:pPr>
      <w:r>
        <w:rPr>
          <w:b/>
        </w:rPr>
        <w:t xml:space="preserve">Základní cíl kurzu: </w:t>
      </w:r>
      <w:r w:rsidR="004C2CD5">
        <w:rPr>
          <w:bCs/>
        </w:rPr>
        <w:t xml:space="preserve">Naučit účastníka kurzu základy </w:t>
      </w:r>
      <w:r w:rsidR="00CB6DFD">
        <w:rPr>
          <w:bCs/>
        </w:rPr>
        <w:t xml:space="preserve">digitálních </w:t>
      </w:r>
      <w:r w:rsidR="008B12FA">
        <w:rPr>
          <w:bCs/>
        </w:rPr>
        <w:t>kompetencí. Pracovat s vlastním digitálním zařízením</w:t>
      </w:r>
      <w:r w:rsidR="00E034EC">
        <w:rPr>
          <w:bCs/>
        </w:rPr>
        <w:t xml:space="preserve"> (např. smartphone, tablet, PC, notebook)</w:t>
      </w:r>
      <w:r w:rsidR="008B12FA">
        <w:rPr>
          <w:bCs/>
        </w:rPr>
        <w:t xml:space="preserve"> na základní uživatelské úrovni. Umět využívat další aplikace na tomto zařízení</w:t>
      </w:r>
      <w:r w:rsidR="0042076C">
        <w:rPr>
          <w:bCs/>
        </w:rPr>
        <w:t>. Umět se přes e</w:t>
      </w:r>
      <w:r w:rsidR="00292131">
        <w:rPr>
          <w:bCs/>
        </w:rPr>
        <w:t xml:space="preserve">lektronickou </w:t>
      </w:r>
      <w:r w:rsidR="0042076C">
        <w:rPr>
          <w:bCs/>
        </w:rPr>
        <w:t>identitu přihlásit do</w:t>
      </w:r>
      <w:r w:rsidR="00C83E95">
        <w:rPr>
          <w:bCs/>
        </w:rPr>
        <w:t> </w:t>
      </w:r>
      <w:r w:rsidR="0042076C">
        <w:rPr>
          <w:bCs/>
        </w:rPr>
        <w:t xml:space="preserve">internetového bankovnictví nebo na úřady. Umět </w:t>
      </w:r>
      <w:r w:rsidR="008E1F29">
        <w:rPr>
          <w:bCs/>
        </w:rPr>
        <w:t xml:space="preserve">zřídit a </w:t>
      </w:r>
      <w:r w:rsidR="0042076C">
        <w:rPr>
          <w:bCs/>
        </w:rPr>
        <w:t>využívat datovou schránku, včetně konverze dokumentů. Znát pravidla kyberbezpečnosti</w:t>
      </w:r>
      <w:r w:rsidR="00AC5980">
        <w:rPr>
          <w:bCs/>
        </w:rPr>
        <w:t xml:space="preserve">, </w:t>
      </w:r>
      <w:r w:rsidR="0042076C">
        <w:rPr>
          <w:bCs/>
        </w:rPr>
        <w:t>digitální</w:t>
      </w:r>
      <w:r w:rsidR="007C1AC4">
        <w:rPr>
          <w:bCs/>
        </w:rPr>
        <w:t>ho</w:t>
      </w:r>
      <w:r w:rsidR="0042076C">
        <w:rPr>
          <w:bCs/>
        </w:rPr>
        <w:t xml:space="preserve"> světa, bezpečnosti na internetu a etická pravidla. Znát význam digitálních technologií a jejich základní přínosy a rizika. </w:t>
      </w:r>
    </w:p>
    <w:p w14:paraId="341F07F1" w14:textId="77777777" w:rsidR="00FD4246" w:rsidRPr="004C2CD5" w:rsidRDefault="00FD4246" w:rsidP="00950A25">
      <w:pPr>
        <w:spacing w:after="120" w:line="240" w:lineRule="auto"/>
        <w:jc w:val="both"/>
        <w:rPr>
          <w:bCs/>
        </w:rPr>
      </w:pPr>
    </w:p>
    <w:p w14:paraId="08F8E64A" w14:textId="01CD18F8" w:rsidR="00353A8D" w:rsidRDefault="00353A8D" w:rsidP="00950A25">
      <w:pPr>
        <w:spacing w:after="120" w:line="240" w:lineRule="auto"/>
        <w:jc w:val="both"/>
      </w:pPr>
      <w:r w:rsidRPr="00F35240">
        <w:rPr>
          <w:b/>
          <w:bCs/>
        </w:rPr>
        <w:t>Konkrétní kompetence</w:t>
      </w:r>
      <w:r>
        <w:t xml:space="preserve"> vyplynou vždy z konkrétního rozpracování obsahu učiva.</w:t>
      </w:r>
      <w:r w:rsidR="00157665">
        <w:t xml:space="preserve"> </w:t>
      </w:r>
    </w:p>
    <w:p w14:paraId="268424EA" w14:textId="77777777" w:rsidR="00950A25" w:rsidRDefault="00950A25" w:rsidP="00950A25">
      <w:pPr>
        <w:spacing w:after="120" w:line="240" w:lineRule="auto"/>
        <w:jc w:val="both"/>
        <w:rPr>
          <w:b/>
        </w:rPr>
      </w:pPr>
    </w:p>
    <w:p w14:paraId="4FA74BB2" w14:textId="1018E7E0" w:rsidR="00353A8D" w:rsidRPr="00950A25" w:rsidRDefault="00353A8D" w:rsidP="00950A25">
      <w:pPr>
        <w:pStyle w:val="Nadpis2"/>
        <w:spacing w:before="0" w:after="120" w:line="240" w:lineRule="auto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Obsah kurzu: </w:t>
      </w:r>
    </w:p>
    <w:p w14:paraId="3BAFDC4A" w14:textId="47DDFDB2" w:rsidR="000479C7" w:rsidRDefault="00157665" w:rsidP="00B14E62">
      <w:pPr>
        <w:spacing w:after="120" w:line="240" w:lineRule="auto"/>
        <w:jc w:val="both"/>
      </w:pPr>
      <w:r>
        <w:t>M</w:t>
      </w:r>
      <w:r w:rsidR="00B14E62">
        <w:t>in</w:t>
      </w:r>
      <w:r w:rsidR="00DB5AFB">
        <w:t>imální</w:t>
      </w:r>
      <w:r w:rsidR="00B14E62">
        <w:t xml:space="preserve"> rozsah kurzu j</w:t>
      </w:r>
      <w:r w:rsidR="00FB7A5F">
        <w:t>e</w:t>
      </w:r>
      <w:r w:rsidR="00B14E62">
        <w:t xml:space="preserve"> </w:t>
      </w:r>
      <w:r w:rsidR="00FB7A5F">
        <w:t>5</w:t>
      </w:r>
      <w:r w:rsidR="00B14E62">
        <w:t xml:space="preserve"> tematick</w:t>
      </w:r>
      <w:r w:rsidR="00FB7A5F">
        <w:t>ých</w:t>
      </w:r>
      <w:r w:rsidR="00B14E62">
        <w:t xml:space="preserve"> celk</w:t>
      </w:r>
      <w:r w:rsidR="00FB7A5F">
        <w:t>ů</w:t>
      </w:r>
      <w:r w:rsidR="00B14E62">
        <w:t xml:space="preserve">, jeden celek </w:t>
      </w:r>
      <w:r w:rsidR="004C1E89">
        <w:t>trvá</w:t>
      </w:r>
      <w:r w:rsidR="00B14E62">
        <w:t xml:space="preserve"> min</w:t>
      </w:r>
      <w:r w:rsidR="00DB5AFB">
        <w:t>imáln</w:t>
      </w:r>
      <w:r w:rsidR="004C1E89">
        <w:t>ě</w:t>
      </w:r>
      <w:r w:rsidR="00B14E62">
        <w:t xml:space="preserve"> </w:t>
      </w:r>
      <w:r w:rsidR="00DB5AFB">
        <w:t>4</w:t>
      </w:r>
      <w:r w:rsidR="00B14E62">
        <w:t xml:space="preserve"> hodin</w:t>
      </w:r>
      <w:r w:rsidR="00DB5AFB">
        <w:t>y</w:t>
      </w:r>
      <w:r w:rsidR="00B14E62">
        <w:t xml:space="preserve"> teoretické výuky</w:t>
      </w:r>
      <w:r>
        <w:t xml:space="preserve">. Je možné vybrat buď </w:t>
      </w:r>
      <w:r w:rsidR="00FB7A5F">
        <w:t>5</w:t>
      </w:r>
      <w:r>
        <w:t xml:space="preserve"> tematick</w:t>
      </w:r>
      <w:r w:rsidR="00FB7A5F">
        <w:t>ých</w:t>
      </w:r>
      <w:r>
        <w:t xml:space="preserve"> celk</w:t>
      </w:r>
      <w:r w:rsidR="00FB7A5F">
        <w:t>ů</w:t>
      </w:r>
      <w:r>
        <w:t xml:space="preserve"> z obsahu uvedeného MŠMT nebo dodržet podmínku 80/20 %</w:t>
      </w:r>
      <w:r w:rsidR="002C7304">
        <w:t xml:space="preserve">, ale je možné </w:t>
      </w:r>
      <w:r w:rsidR="000479C7">
        <w:t xml:space="preserve">také </w:t>
      </w:r>
      <w:r w:rsidR="002C7304">
        <w:t xml:space="preserve">vybrat 100 % tematických celků uvedených MŠMT. </w:t>
      </w:r>
    </w:p>
    <w:p w14:paraId="06E0B989" w14:textId="54FDFE16" w:rsidR="00B14E62" w:rsidRDefault="004C1E89" w:rsidP="00B14E62">
      <w:pPr>
        <w:spacing w:after="120" w:line="240" w:lineRule="auto"/>
        <w:jc w:val="both"/>
      </w:pPr>
      <w:r>
        <w:t xml:space="preserve">Je třeba dodržet </w:t>
      </w:r>
      <w:r w:rsidR="00012FEB">
        <w:t xml:space="preserve">min. </w:t>
      </w:r>
      <w:r w:rsidR="00157665">
        <w:t>80</w:t>
      </w:r>
      <w:r w:rsidR="00B71E39">
        <w:t xml:space="preserve"> </w:t>
      </w:r>
      <w:r w:rsidR="00157665">
        <w:t xml:space="preserve">% celkové hodinové dotace, tedy </w:t>
      </w:r>
      <w:r w:rsidR="00DB5AFB">
        <w:t>min</w:t>
      </w:r>
      <w:r>
        <w:t>imálně</w:t>
      </w:r>
      <w:r w:rsidR="00DB5AFB">
        <w:t xml:space="preserve"> </w:t>
      </w:r>
      <w:r w:rsidR="00F42DF0">
        <w:t>20</w:t>
      </w:r>
      <w:r w:rsidR="00DB5AFB">
        <w:t xml:space="preserve"> hodin</w:t>
      </w:r>
      <w:r w:rsidR="00012FEB">
        <w:t>,</w:t>
      </w:r>
      <w:r>
        <w:t xml:space="preserve"> a další tematický celek </w:t>
      </w:r>
      <w:r w:rsidR="00012FEB">
        <w:t xml:space="preserve">stanovit </w:t>
      </w:r>
      <w:r>
        <w:t xml:space="preserve">dle výběru vzdělávacího zařízení tak, aby byl </w:t>
      </w:r>
      <w:r w:rsidR="00B27CC9">
        <w:t xml:space="preserve">program </w:t>
      </w:r>
      <w:r>
        <w:t>obsahově v souladu s digitální gramotností</w:t>
      </w:r>
      <w:r w:rsidR="00B71E39">
        <w:t xml:space="preserve"> a aby </w:t>
      </w:r>
      <w:r w:rsidR="00012FEB">
        <w:t xml:space="preserve">celková </w:t>
      </w:r>
      <w:r w:rsidR="00B71E39">
        <w:t>minimální hodinová dotace kurzu byla 2</w:t>
      </w:r>
      <w:r w:rsidR="00F42DF0">
        <w:t>5</w:t>
      </w:r>
      <w:r w:rsidR="00B71E39">
        <w:t xml:space="preserve"> hodin</w:t>
      </w:r>
      <w:r w:rsidR="00FB7A5F">
        <w:t xml:space="preserve">, včetně </w:t>
      </w:r>
      <w:r w:rsidR="00B27CC9">
        <w:t>1 hodin</w:t>
      </w:r>
      <w:r w:rsidR="00FB7A5F">
        <w:t xml:space="preserve">y </w:t>
      </w:r>
      <w:r w:rsidR="00B71E39">
        <w:t>na</w:t>
      </w:r>
      <w:r w:rsidR="00B27CC9">
        <w:t> </w:t>
      </w:r>
      <w:r w:rsidR="00B71E39">
        <w:t xml:space="preserve">předmět Poučení o bezpečnosti a ochraně zdraví při práci. </w:t>
      </w:r>
    </w:p>
    <w:p w14:paraId="709699A1" w14:textId="161521BE" w:rsidR="00700E1B" w:rsidRDefault="00700E1B" w:rsidP="00700E1B">
      <w:pPr>
        <w:spacing w:after="120" w:line="240" w:lineRule="auto"/>
        <w:rPr>
          <w:b/>
        </w:rPr>
      </w:pPr>
      <w:r w:rsidRPr="00700E1B">
        <w:rPr>
          <w:b/>
        </w:rPr>
        <w:t xml:space="preserve">Základní tematické rozvržení učiva </w:t>
      </w:r>
      <w:r w:rsidR="007C1AC4">
        <w:rPr>
          <w:b/>
        </w:rPr>
        <w:t>j</w:t>
      </w:r>
      <w:r w:rsidR="0066520E">
        <w:rPr>
          <w:b/>
        </w:rPr>
        <w:t>e</w:t>
      </w:r>
      <w:r w:rsidR="007C1AC4">
        <w:rPr>
          <w:b/>
        </w:rPr>
        <w:t xml:space="preserve"> </w:t>
      </w:r>
      <w:r w:rsidRPr="00700E1B">
        <w:rPr>
          <w:b/>
        </w:rPr>
        <w:t>v</w:t>
      </w:r>
      <w:r w:rsidR="00E7676B">
        <w:rPr>
          <w:b/>
        </w:rPr>
        <w:t> učebním plánu</w:t>
      </w:r>
      <w:r w:rsidR="00E034EC">
        <w:rPr>
          <w:b/>
        </w:rPr>
        <w:t>.</w:t>
      </w:r>
    </w:p>
    <w:p w14:paraId="4C4C860D" w14:textId="146564D4" w:rsidR="00CD0E5F" w:rsidRDefault="00CD0E5F" w:rsidP="00700E1B">
      <w:pPr>
        <w:spacing w:after="120" w:line="240" w:lineRule="auto"/>
        <w:rPr>
          <w:b/>
        </w:rPr>
      </w:pPr>
      <w:r>
        <w:rPr>
          <w:b/>
        </w:rPr>
        <w:t xml:space="preserve">Povinný </w:t>
      </w:r>
      <w:r w:rsidR="00995695">
        <w:rPr>
          <w:b/>
        </w:rPr>
        <w:t xml:space="preserve">tematický celek </w:t>
      </w:r>
      <w:r>
        <w:rPr>
          <w:b/>
        </w:rPr>
        <w:t xml:space="preserve">Poučení o bezpečnosti a ochraně zdraví při práci </w:t>
      </w:r>
      <w:r w:rsidR="00995695">
        <w:rPr>
          <w:b/>
        </w:rPr>
        <w:t xml:space="preserve">min. rozsah </w:t>
      </w:r>
      <w:r>
        <w:rPr>
          <w:b/>
        </w:rPr>
        <w:t>1 hodina</w:t>
      </w:r>
      <w:r w:rsidR="00E034EC">
        <w:rPr>
          <w:b/>
        </w:rPr>
        <w:t>.</w:t>
      </w:r>
      <w:r>
        <w:rPr>
          <w:b/>
        </w:rPr>
        <w:t xml:space="preserve"> </w:t>
      </w:r>
    </w:p>
    <w:p w14:paraId="10D9D6FC" w14:textId="10193D58" w:rsidR="00995695" w:rsidRDefault="00995695" w:rsidP="00700E1B">
      <w:pPr>
        <w:spacing w:after="120" w:line="240" w:lineRule="auto"/>
        <w:rPr>
          <w:b/>
        </w:rPr>
      </w:pPr>
    </w:p>
    <w:p w14:paraId="33530A7F" w14:textId="13C68674" w:rsidR="00995695" w:rsidRDefault="00995695" w:rsidP="00700E1B">
      <w:pPr>
        <w:spacing w:after="120" w:line="240" w:lineRule="auto"/>
        <w:rPr>
          <w:b/>
        </w:rPr>
      </w:pPr>
    </w:p>
    <w:p w14:paraId="70CB378D" w14:textId="38BF0454" w:rsidR="00E7676B" w:rsidRPr="00154664" w:rsidRDefault="00995695" w:rsidP="00700E1B">
      <w:pPr>
        <w:spacing w:after="120" w:line="240" w:lineRule="auto"/>
        <w:rPr>
          <w:b/>
          <w:sz w:val="24"/>
          <w:szCs w:val="24"/>
        </w:rPr>
      </w:pPr>
      <w:r w:rsidRPr="00154664">
        <w:rPr>
          <w:b/>
          <w:sz w:val="24"/>
          <w:szCs w:val="24"/>
        </w:rPr>
        <w:t>Tematické celky stanovené MŠMT</w:t>
      </w: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2127"/>
      </w:tblGrid>
      <w:tr w:rsidR="00700E1B" w:rsidRPr="00CD0E5F" w14:paraId="50B2E7D6" w14:textId="77777777" w:rsidTr="00725522">
        <w:tc>
          <w:tcPr>
            <w:tcW w:w="5098" w:type="dxa"/>
          </w:tcPr>
          <w:p w14:paraId="5C90A56E" w14:textId="402A277E" w:rsidR="00700E1B" w:rsidRPr="00700E1B" w:rsidRDefault="00787549" w:rsidP="00700E1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Názvy t</w:t>
            </w:r>
            <w:r w:rsidR="00E7676B" w:rsidRPr="00CD0E5F">
              <w:rPr>
                <w:b/>
              </w:rPr>
              <w:t>ematick</w:t>
            </w:r>
            <w:r>
              <w:rPr>
                <w:b/>
              </w:rPr>
              <w:t>ých celků</w:t>
            </w:r>
          </w:p>
        </w:tc>
        <w:tc>
          <w:tcPr>
            <w:tcW w:w="2127" w:type="dxa"/>
          </w:tcPr>
          <w:p w14:paraId="34275530" w14:textId="7C3FCED7" w:rsidR="00700E1B" w:rsidRPr="00700E1B" w:rsidRDefault="00700E1B" w:rsidP="00700E1B">
            <w:pPr>
              <w:spacing w:after="120" w:line="240" w:lineRule="auto"/>
              <w:rPr>
                <w:b/>
              </w:rPr>
            </w:pPr>
            <w:r w:rsidRPr="00CD0E5F">
              <w:rPr>
                <w:b/>
              </w:rPr>
              <w:t xml:space="preserve">Hodinová dotace </w:t>
            </w:r>
          </w:p>
        </w:tc>
      </w:tr>
      <w:tr w:rsidR="007C1AC4" w:rsidRPr="00CD0E5F" w14:paraId="1EB8C8AF" w14:textId="77777777" w:rsidTr="00725522">
        <w:tc>
          <w:tcPr>
            <w:tcW w:w="5098" w:type="dxa"/>
          </w:tcPr>
          <w:p w14:paraId="4ED1010F" w14:textId="3C35C251" w:rsidR="007C1AC4" w:rsidRPr="00700E1B" w:rsidRDefault="007C1AC4" w:rsidP="0003290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Poučení o bezpečnosti a ochraně zdraví při práci </w:t>
            </w:r>
          </w:p>
        </w:tc>
        <w:tc>
          <w:tcPr>
            <w:tcW w:w="2127" w:type="dxa"/>
          </w:tcPr>
          <w:p w14:paraId="43228799" w14:textId="4C7297A2" w:rsidR="007C1AC4" w:rsidRPr="00CD0E5F" w:rsidRDefault="007C1AC4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1 hodina</w:t>
            </w:r>
          </w:p>
        </w:tc>
      </w:tr>
      <w:tr w:rsidR="00700E1B" w:rsidRPr="00CD0E5F" w14:paraId="21437FDE" w14:textId="77777777" w:rsidTr="00725522">
        <w:tc>
          <w:tcPr>
            <w:tcW w:w="5098" w:type="dxa"/>
          </w:tcPr>
          <w:p w14:paraId="7A74EC88" w14:textId="0C30905B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1. </w:t>
            </w:r>
            <w:r w:rsidR="0003290A" w:rsidRPr="00CD0E5F">
              <w:rPr>
                <w:bCs/>
              </w:rPr>
              <w:t>E</w:t>
            </w:r>
            <w:r w:rsidR="00292131">
              <w:rPr>
                <w:bCs/>
              </w:rPr>
              <w:t xml:space="preserve">lektronická </w:t>
            </w:r>
            <w:r w:rsidR="0003290A" w:rsidRPr="00CD0E5F">
              <w:rPr>
                <w:bCs/>
              </w:rPr>
              <w:t>identita občana</w:t>
            </w:r>
          </w:p>
        </w:tc>
        <w:tc>
          <w:tcPr>
            <w:tcW w:w="2127" w:type="dxa"/>
          </w:tcPr>
          <w:p w14:paraId="72A31DE8" w14:textId="2C8E587F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00E1B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56821793" w14:textId="77777777" w:rsidTr="00725522">
        <w:tc>
          <w:tcPr>
            <w:tcW w:w="5098" w:type="dxa"/>
          </w:tcPr>
          <w:p w14:paraId="358D3A4C" w14:textId="2E18732D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2. </w:t>
            </w:r>
            <w:r w:rsidR="0003290A" w:rsidRPr="00CD0E5F">
              <w:rPr>
                <w:bCs/>
              </w:rPr>
              <w:t>Internetové bankovnictví</w:t>
            </w:r>
          </w:p>
        </w:tc>
        <w:tc>
          <w:tcPr>
            <w:tcW w:w="2127" w:type="dxa"/>
          </w:tcPr>
          <w:p w14:paraId="06023680" w14:textId="6BE5D64D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735B470A" w14:textId="77777777" w:rsidTr="00725522">
        <w:tc>
          <w:tcPr>
            <w:tcW w:w="5098" w:type="dxa"/>
          </w:tcPr>
          <w:p w14:paraId="57CF4D53" w14:textId="1556E15B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3. </w:t>
            </w:r>
            <w:r w:rsidR="00154664">
              <w:rPr>
                <w:bCs/>
              </w:rPr>
              <w:t xml:space="preserve">Portál občana, </w:t>
            </w:r>
            <w:r w:rsidR="0003290A" w:rsidRPr="00CD0E5F">
              <w:rPr>
                <w:bCs/>
              </w:rPr>
              <w:t>Datová schránka</w:t>
            </w:r>
            <w:r w:rsidR="00154664">
              <w:rPr>
                <w:bCs/>
              </w:rPr>
              <w:t>, Czech POINT</w:t>
            </w:r>
          </w:p>
        </w:tc>
        <w:tc>
          <w:tcPr>
            <w:tcW w:w="2127" w:type="dxa"/>
          </w:tcPr>
          <w:p w14:paraId="46D64AB5" w14:textId="6B5B43D4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56C3ACD9" w14:textId="77777777" w:rsidTr="00725522">
        <w:tc>
          <w:tcPr>
            <w:tcW w:w="5098" w:type="dxa"/>
          </w:tcPr>
          <w:p w14:paraId="0FC13F73" w14:textId="33DD1CB7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4. </w:t>
            </w:r>
            <w:r w:rsidR="0003290A" w:rsidRPr="00CD0E5F">
              <w:rPr>
                <w:bCs/>
              </w:rPr>
              <w:t>K</w:t>
            </w:r>
            <w:r w:rsidR="00F50862" w:rsidRPr="00CD0E5F">
              <w:rPr>
                <w:bCs/>
              </w:rPr>
              <w:t>omunikace s</w:t>
            </w:r>
            <w:r w:rsidR="00154664">
              <w:rPr>
                <w:bCs/>
              </w:rPr>
              <w:t> </w:t>
            </w:r>
            <w:r w:rsidR="00F50862" w:rsidRPr="00CD0E5F">
              <w:rPr>
                <w:bCs/>
              </w:rPr>
              <w:t>úřady</w:t>
            </w:r>
            <w:r w:rsidR="00154664">
              <w:rPr>
                <w:bCs/>
              </w:rPr>
              <w:t>, e-Občanka, Elektronický podpis</w:t>
            </w:r>
          </w:p>
        </w:tc>
        <w:tc>
          <w:tcPr>
            <w:tcW w:w="2127" w:type="dxa"/>
          </w:tcPr>
          <w:p w14:paraId="03ABD927" w14:textId="2745FF99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68F5BF01" w14:textId="77777777" w:rsidTr="00725522">
        <w:tc>
          <w:tcPr>
            <w:tcW w:w="5098" w:type="dxa"/>
          </w:tcPr>
          <w:p w14:paraId="2BCAF19A" w14:textId="2AC5BC64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5. </w:t>
            </w:r>
            <w:r w:rsidR="00F50862" w:rsidRPr="00CD0E5F">
              <w:rPr>
                <w:bCs/>
              </w:rPr>
              <w:t>Základní ovládání PC</w:t>
            </w:r>
            <w:r w:rsidR="007A2549">
              <w:rPr>
                <w:bCs/>
              </w:rPr>
              <w:t>/</w:t>
            </w:r>
            <w:r w:rsidR="00F50862" w:rsidRPr="00CD0E5F">
              <w:rPr>
                <w:bCs/>
              </w:rPr>
              <w:t>notebooku</w:t>
            </w:r>
          </w:p>
        </w:tc>
        <w:tc>
          <w:tcPr>
            <w:tcW w:w="2127" w:type="dxa"/>
          </w:tcPr>
          <w:p w14:paraId="23A36296" w14:textId="45264521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25CBE3FD" w14:textId="77777777" w:rsidTr="00725522">
        <w:tc>
          <w:tcPr>
            <w:tcW w:w="5098" w:type="dxa"/>
          </w:tcPr>
          <w:p w14:paraId="36AD7809" w14:textId="7AE2636F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>6.</w:t>
            </w:r>
            <w:r w:rsidR="000349F9" w:rsidRPr="000349F9">
              <w:rPr>
                <w:bCs/>
              </w:rPr>
              <w:t xml:space="preserve"> Základní ovládání smartphone</w:t>
            </w:r>
            <w:r w:rsidR="000349F9">
              <w:rPr>
                <w:bCs/>
              </w:rPr>
              <w:t xml:space="preserve"> a tabletu</w:t>
            </w:r>
            <w:r w:rsidR="004835B0">
              <w:rPr>
                <w:rFonts w:cstheme="minorHAnsi"/>
                <w:bCs/>
              </w:rPr>
              <w:t>*</w:t>
            </w:r>
            <w:r w:rsidR="007A2549">
              <w:rPr>
                <w:rStyle w:val="Znakapoznpodarou"/>
                <w:bCs/>
              </w:rPr>
              <w:footnoteReference w:id="1"/>
            </w:r>
          </w:p>
        </w:tc>
        <w:tc>
          <w:tcPr>
            <w:tcW w:w="2127" w:type="dxa"/>
          </w:tcPr>
          <w:p w14:paraId="37E2AF9C" w14:textId="6120D19E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48CC254B" w14:textId="77777777" w:rsidTr="00725522">
        <w:tc>
          <w:tcPr>
            <w:tcW w:w="5098" w:type="dxa"/>
          </w:tcPr>
          <w:p w14:paraId="19F618BC" w14:textId="7ED90398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7. </w:t>
            </w:r>
            <w:r w:rsidR="000349F9" w:rsidRPr="000349F9">
              <w:rPr>
                <w:bCs/>
              </w:rPr>
              <w:t>Využívání různých aplikací na PC</w:t>
            </w:r>
            <w:r w:rsidR="007A2549">
              <w:rPr>
                <w:bCs/>
              </w:rPr>
              <w:t>/</w:t>
            </w:r>
            <w:r w:rsidR="000349F9" w:rsidRPr="000349F9">
              <w:rPr>
                <w:bCs/>
              </w:rPr>
              <w:t>notebooku</w:t>
            </w:r>
          </w:p>
        </w:tc>
        <w:tc>
          <w:tcPr>
            <w:tcW w:w="2127" w:type="dxa"/>
          </w:tcPr>
          <w:p w14:paraId="111FA424" w14:textId="6AE52435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79779411" w14:textId="77777777" w:rsidTr="00725522">
        <w:tc>
          <w:tcPr>
            <w:tcW w:w="5098" w:type="dxa"/>
          </w:tcPr>
          <w:p w14:paraId="5ABF93EC" w14:textId="2305FF2F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8.  </w:t>
            </w:r>
            <w:r w:rsidR="000349F9" w:rsidRPr="000349F9">
              <w:rPr>
                <w:bCs/>
              </w:rPr>
              <w:t>Využívání různých aplikací na smartphone</w:t>
            </w:r>
            <w:r w:rsidR="000349F9">
              <w:rPr>
                <w:bCs/>
              </w:rPr>
              <w:t xml:space="preserve"> a tabletu</w:t>
            </w:r>
            <w:r w:rsidR="004835B0">
              <w:rPr>
                <w:rFonts w:cstheme="minorHAnsi"/>
                <w:bCs/>
              </w:rPr>
              <w:t>*</w:t>
            </w:r>
            <w:r w:rsidR="004A7F0D">
              <w:rPr>
                <w:rStyle w:val="Znakapoznpodarou"/>
                <w:rFonts w:cstheme="minorHAnsi"/>
                <w:bCs/>
              </w:rPr>
              <w:footnoteReference w:id="2"/>
            </w:r>
          </w:p>
        </w:tc>
        <w:tc>
          <w:tcPr>
            <w:tcW w:w="2127" w:type="dxa"/>
          </w:tcPr>
          <w:p w14:paraId="029AB13C" w14:textId="0680C5F4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157665" w:rsidRPr="00CD0E5F" w14:paraId="47911FEB" w14:textId="77777777" w:rsidTr="00725522">
        <w:tc>
          <w:tcPr>
            <w:tcW w:w="5098" w:type="dxa"/>
          </w:tcPr>
          <w:p w14:paraId="3130123F" w14:textId="012E1DB6" w:rsidR="00157665" w:rsidRPr="00700E1B" w:rsidRDefault="00157665" w:rsidP="0003290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  <w:r w:rsidR="000349F9" w:rsidRPr="000349F9">
              <w:rPr>
                <w:bCs/>
              </w:rPr>
              <w:t>Kyberbezpečnost, bezpeč</w:t>
            </w:r>
            <w:r w:rsidR="00393E62">
              <w:rPr>
                <w:bCs/>
              </w:rPr>
              <w:t>né a slušné chování</w:t>
            </w:r>
            <w:r w:rsidR="000349F9" w:rsidRPr="000349F9">
              <w:rPr>
                <w:bCs/>
              </w:rPr>
              <w:t xml:space="preserve"> na internetu</w:t>
            </w:r>
          </w:p>
        </w:tc>
        <w:tc>
          <w:tcPr>
            <w:tcW w:w="2127" w:type="dxa"/>
          </w:tcPr>
          <w:p w14:paraId="1C38BC00" w14:textId="714B14CE" w:rsidR="00157665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 hodiny</w:t>
            </w:r>
          </w:p>
        </w:tc>
      </w:tr>
      <w:tr w:rsidR="00157665" w:rsidRPr="00CD0E5F" w14:paraId="613B30C7" w14:textId="77777777" w:rsidTr="00725522">
        <w:tc>
          <w:tcPr>
            <w:tcW w:w="5098" w:type="dxa"/>
          </w:tcPr>
          <w:p w14:paraId="258264FF" w14:textId="406BAC5C" w:rsidR="00157665" w:rsidRPr="00700E1B" w:rsidRDefault="00157665" w:rsidP="0003290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10. </w:t>
            </w:r>
            <w:r w:rsidR="000349F9" w:rsidRPr="000349F9">
              <w:rPr>
                <w:bCs/>
              </w:rPr>
              <w:t>Význam digitálních technologií, jejich přínosy a rizika</w:t>
            </w:r>
          </w:p>
        </w:tc>
        <w:tc>
          <w:tcPr>
            <w:tcW w:w="2127" w:type="dxa"/>
          </w:tcPr>
          <w:p w14:paraId="16695053" w14:textId="4A1BB4C8" w:rsidR="00157665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 hodiny</w:t>
            </w:r>
          </w:p>
        </w:tc>
      </w:tr>
    </w:tbl>
    <w:p w14:paraId="7ED45DAF" w14:textId="2EBA317C" w:rsidR="00353A8D" w:rsidRDefault="00353A8D" w:rsidP="00950A25">
      <w:pPr>
        <w:spacing w:after="120" w:line="240" w:lineRule="auto"/>
        <w:rPr>
          <w:b/>
        </w:rPr>
      </w:pPr>
    </w:p>
    <w:p w14:paraId="17ECE322" w14:textId="032A6DA5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>Základní časové rozvržení učiva v učební jednotce</w:t>
      </w:r>
      <w:r w:rsidR="003352C1">
        <w:rPr>
          <w:b/>
        </w:rPr>
        <w:t>: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2"/>
        <w:gridCol w:w="4332"/>
      </w:tblGrid>
      <w:tr w:rsidR="00353A8D" w14:paraId="620E8F33" w14:textId="77777777" w:rsidTr="005E4A84">
        <w:tc>
          <w:tcPr>
            <w:tcW w:w="4332" w:type="dxa"/>
          </w:tcPr>
          <w:p w14:paraId="75D24872" w14:textId="1C72D82F" w:rsidR="00353A8D" w:rsidRPr="00AC0C0B" w:rsidRDefault="00012FEB" w:rsidP="006311E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min. </w:t>
            </w:r>
            <w:r w:rsidR="005F424E">
              <w:rPr>
                <w:b/>
              </w:rPr>
              <w:t>80</w:t>
            </w:r>
            <w:r w:rsidR="00353A8D" w:rsidRPr="00AC0C0B">
              <w:rPr>
                <w:b/>
              </w:rPr>
              <w:t xml:space="preserve"> % učebního času</w:t>
            </w:r>
          </w:p>
        </w:tc>
        <w:tc>
          <w:tcPr>
            <w:tcW w:w="4332" w:type="dxa"/>
          </w:tcPr>
          <w:p w14:paraId="1F3226FE" w14:textId="44EFC0D5" w:rsidR="00353A8D" w:rsidRPr="00AC0C0B" w:rsidRDefault="005F424E" w:rsidP="006311E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53A8D" w:rsidRPr="00AC0C0B">
              <w:rPr>
                <w:b/>
              </w:rPr>
              <w:t xml:space="preserve"> % učebního času</w:t>
            </w:r>
          </w:p>
        </w:tc>
      </w:tr>
      <w:tr w:rsidR="00353A8D" w14:paraId="53716D75" w14:textId="77777777" w:rsidTr="005E4A84">
        <w:tc>
          <w:tcPr>
            <w:tcW w:w="4332" w:type="dxa"/>
          </w:tcPr>
          <w:p w14:paraId="639888D1" w14:textId="60574EB6" w:rsidR="00353A8D" w:rsidRDefault="005F424E" w:rsidP="006311E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Výběr z tematických celků MŠMT.</w:t>
            </w:r>
          </w:p>
        </w:tc>
        <w:tc>
          <w:tcPr>
            <w:tcW w:w="4332" w:type="dxa"/>
          </w:tcPr>
          <w:p w14:paraId="6DC5AC57" w14:textId="4DBAB1D6" w:rsidR="00353A8D" w:rsidRDefault="00B27CC9" w:rsidP="006311ED">
            <w:pPr>
              <w:spacing w:after="120" w:line="240" w:lineRule="auto"/>
              <w:jc w:val="center"/>
            </w:pPr>
            <w:r>
              <w:rPr>
                <w:b/>
                <w:color w:val="002060"/>
              </w:rPr>
              <w:t>Tematické celky</w:t>
            </w:r>
            <w:r w:rsidR="005F424E">
              <w:rPr>
                <w:b/>
                <w:color w:val="002060"/>
              </w:rPr>
              <w:t xml:space="preserve"> </w:t>
            </w:r>
            <w:r w:rsidR="00E034EC">
              <w:rPr>
                <w:b/>
                <w:color w:val="002060"/>
              </w:rPr>
              <w:t xml:space="preserve">navržené </w:t>
            </w:r>
            <w:r w:rsidR="005F424E">
              <w:rPr>
                <w:b/>
                <w:color w:val="002060"/>
              </w:rPr>
              <w:t>vzdělávací</w:t>
            </w:r>
            <w:r w:rsidR="00E034EC">
              <w:rPr>
                <w:b/>
                <w:color w:val="002060"/>
              </w:rPr>
              <w:t>m</w:t>
            </w:r>
            <w:r w:rsidR="005F424E">
              <w:rPr>
                <w:b/>
                <w:color w:val="002060"/>
              </w:rPr>
              <w:t xml:space="preserve"> zařízení</w:t>
            </w:r>
            <w:r w:rsidR="00E034EC">
              <w:rPr>
                <w:b/>
                <w:color w:val="002060"/>
              </w:rPr>
              <w:t>m</w:t>
            </w:r>
            <w:r w:rsidR="005F424E">
              <w:rPr>
                <w:b/>
                <w:color w:val="002060"/>
              </w:rPr>
              <w:t>.</w:t>
            </w:r>
          </w:p>
        </w:tc>
      </w:tr>
    </w:tbl>
    <w:p w14:paraId="273B3BBC" w14:textId="77777777" w:rsidR="00950A25" w:rsidRDefault="00950A25" w:rsidP="00950A25">
      <w:pPr>
        <w:spacing w:after="120" w:line="240" w:lineRule="auto"/>
        <w:jc w:val="both"/>
        <w:rPr>
          <w:b/>
        </w:rPr>
      </w:pPr>
      <w:bookmarkStart w:id="1" w:name="_Hlk102564030"/>
    </w:p>
    <w:p w14:paraId="173B6334" w14:textId="5C597C8F" w:rsidR="004B03EC" w:rsidRDefault="00353A8D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bookmarkStart w:id="2" w:name="_Hlk102722811"/>
      <w:r w:rsidRPr="00950A25">
        <w:rPr>
          <w:b/>
          <w:color w:val="31849B"/>
          <w:sz w:val="24"/>
        </w:rPr>
        <w:t xml:space="preserve">Žádost </w:t>
      </w:r>
      <w:r w:rsidR="0037578C">
        <w:rPr>
          <w:b/>
          <w:color w:val="31849B"/>
          <w:sz w:val="24"/>
        </w:rPr>
        <w:t xml:space="preserve">o akreditaci žadatel </w:t>
      </w:r>
      <w:proofErr w:type="gramStart"/>
      <w:r w:rsidR="0037578C">
        <w:rPr>
          <w:b/>
          <w:color w:val="31849B"/>
          <w:sz w:val="24"/>
        </w:rPr>
        <w:t>předloží</w:t>
      </w:r>
      <w:proofErr w:type="gramEnd"/>
      <w:r w:rsidR="0037578C">
        <w:rPr>
          <w:b/>
          <w:color w:val="31849B"/>
          <w:sz w:val="24"/>
        </w:rPr>
        <w:t xml:space="preserve"> na předepsaném formuláři</w:t>
      </w:r>
      <w:r w:rsidR="00434960">
        <w:rPr>
          <w:b/>
          <w:color w:val="31849B"/>
          <w:sz w:val="24"/>
        </w:rPr>
        <w:t xml:space="preserve"> „Žádost o</w:t>
      </w:r>
      <w:r w:rsidR="006311ED">
        <w:rPr>
          <w:b/>
          <w:color w:val="31849B"/>
          <w:sz w:val="24"/>
        </w:rPr>
        <w:t> </w:t>
      </w:r>
      <w:r w:rsidR="00434960">
        <w:rPr>
          <w:b/>
          <w:color w:val="31849B"/>
          <w:sz w:val="24"/>
        </w:rPr>
        <w:t xml:space="preserve">akreditaci – čistá rekvalifikace“ </w:t>
      </w:r>
      <w:hyperlink r:id="rId9" w:history="1">
        <w:r w:rsidR="004B03EC" w:rsidRPr="004B03EC">
          <w:rPr>
            <w:rStyle w:val="Hypertextovodkaz"/>
            <w:b/>
            <w:sz w:val="24"/>
          </w:rPr>
          <w:t>zde</w:t>
        </w:r>
      </w:hyperlink>
      <w:r w:rsidR="0037578C">
        <w:rPr>
          <w:b/>
          <w:color w:val="31849B"/>
          <w:sz w:val="24"/>
        </w:rPr>
        <w:t xml:space="preserve">. </w:t>
      </w:r>
    </w:p>
    <w:p w14:paraId="64883305" w14:textId="06DA5183" w:rsidR="00353A8D" w:rsidRPr="00950A25" w:rsidRDefault="0037578C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>
        <w:rPr>
          <w:b/>
          <w:color w:val="31849B"/>
          <w:sz w:val="24"/>
        </w:rPr>
        <w:t>Žádost musí obsahovat, mimo jiné,</w:t>
      </w:r>
      <w:r w:rsidR="00353A8D" w:rsidRPr="00950A25">
        <w:rPr>
          <w:b/>
          <w:color w:val="31849B"/>
          <w:sz w:val="24"/>
        </w:rPr>
        <w:t xml:space="preserve"> tyto informace týkající se obsahu učiva</w:t>
      </w:r>
      <w:r w:rsidR="00C823F9">
        <w:rPr>
          <w:b/>
          <w:color w:val="31849B"/>
          <w:sz w:val="24"/>
        </w:rPr>
        <w:t>:</w:t>
      </w:r>
    </w:p>
    <w:bookmarkEnd w:id="2"/>
    <w:p w14:paraId="581A308A" w14:textId="57AF8EBB" w:rsidR="00353A8D" w:rsidRPr="00950A25" w:rsidRDefault="00AC28A8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bCs/>
        </w:rPr>
      </w:pPr>
      <w:r>
        <w:rPr>
          <w:b/>
        </w:rPr>
        <w:t>U</w:t>
      </w:r>
      <w:r w:rsidR="00353A8D" w:rsidRPr="00950A25">
        <w:rPr>
          <w:b/>
        </w:rPr>
        <w:t>čební plán</w:t>
      </w:r>
      <w:r w:rsidR="00353A8D" w:rsidRPr="00950A25">
        <w:rPr>
          <w:bCs/>
        </w:rPr>
        <w:t>, který bude obsahovat povinná témata, přidělenou časovou dotaci v rámci kurzu, s tím, že </w:t>
      </w:r>
      <w:r w:rsidR="00012FEB">
        <w:rPr>
          <w:bCs/>
        </w:rPr>
        <w:t xml:space="preserve">min. </w:t>
      </w:r>
      <w:r w:rsidR="000B309E">
        <w:rPr>
          <w:bCs/>
        </w:rPr>
        <w:t>8</w:t>
      </w:r>
      <w:r w:rsidR="001776E5">
        <w:rPr>
          <w:bCs/>
        </w:rPr>
        <w:t xml:space="preserve">0 % </w:t>
      </w:r>
      <w:r w:rsidR="0066520E">
        <w:rPr>
          <w:bCs/>
        </w:rPr>
        <w:t xml:space="preserve">tematických celků bude </w:t>
      </w:r>
      <w:r w:rsidR="001776E5">
        <w:rPr>
          <w:bCs/>
        </w:rPr>
        <w:t>totožných s učebním plánem MŠMT a</w:t>
      </w:r>
      <w:r w:rsidR="000479C7">
        <w:rPr>
          <w:bCs/>
        </w:rPr>
        <w:t> </w:t>
      </w:r>
      <w:r w:rsidR="001776E5">
        <w:rPr>
          <w:bCs/>
        </w:rPr>
        <w:t>20</w:t>
      </w:r>
      <w:r w:rsidR="0066520E">
        <w:rPr>
          <w:bCs/>
        </w:rPr>
        <w:t> </w:t>
      </w:r>
      <w:r w:rsidR="001776E5">
        <w:rPr>
          <w:bCs/>
        </w:rPr>
        <w:t xml:space="preserve">% bude podle vzdělávacího zařízení. </w:t>
      </w:r>
    </w:p>
    <w:p w14:paraId="7FC50348" w14:textId="1A59A924" w:rsidR="00353A8D" w:rsidRDefault="000B309E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</w:pPr>
      <w:r>
        <w:rPr>
          <w:b/>
        </w:rPr>
        <w:t>U</w:t>
      </w:r>
      <w:r w:rsidR="00353A8D" w:rsidRPr="00950A25">
        <w:rPr>
          <w:b/>
        </w:rPr>
        <w:t>čební osnovy</w:t>
      </w:r>
      <w:r w:rsidR="00353A8D" w:rsidRPr="00950A25">
        <w:rPr>
          <w:bCs/>
        </w:rPr>
        <w:t>, ve kterých b</w:t>
      </w:r>
      <w:r w:rsidR="001776E5">
        <w:rPr>
          <w:bCs/>
        </w:rPr>
        <w:t xml:space="preserve">udou blíže rozpracované tematické celky z učebního plánu. </w:t>
      </w:r>
    </w:p>
    <w:bookmarkEnd w:id="1"/>
    <w:p w14:paraId="441BE99A" w14:textId="65F1AF1C" w:rsidR="00353A8D" w:rsidRDefault="00353A8D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</w:pPr>
      <w:r w:rsidRPr="00950A25">
        <w:rPr>
          <w:b/>
        </w:rPr>
        <w:t>Učební materiály a pomůcky</w:t>
      </w:r>
      <w:r>
        <w:t xml:space="preserve"> – materiály navrhne vzdělávací </w:t>
      </w:r>
      <w:r w:rsidR="003E21F8">
        <w:t>zařízení</w:t>
      </w:r>
      <w:r>
        <w:t xml:space="preserve"> s ohledem na</w:t>
      </w:r>
      <w:r w:rsidR="001776E5">
        <w:t> </w:t>
      </w:r>
      <w:r>
        <w:t>rozpracované konkrétní kompetence.</w:t>
      </w:r>
    </w:p>
    <w:p w14:paraId="09AF89F9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0DDD365C" w14:textId="2D4861D6" w:rsidR="001D640F" w:rsidRDefault="00353A8D" w:rsidP="001D640F">
      <w:pPr>
        <w:spacing w:after="120" w:line="240" w:lineRule="auto"/>
        <w:jc w:val="both"/>
      </w:pPr>
      <w:r>
        <w:rPr>
          <w:b/>
        </w:rPr>
        <w:t>Docházka:</w:t>
      </w:r>
      <w:r>
        <w:t xml:space="preserve"> minimálně </w:t>
      </w:r>
      <w:r>
        <w:rPr>
          <w:b/>
        </w:rPr>
        <w:t>80</w:t>
      </w:r>
      <w:r w:rsidR="00334F1B">
        <w:rPr>
          <w:b/>
        </w:rPr>
        <w:t xml:space="preserve"> </w:t>
      </w:r>
      <w:r>
        <w:rPr>
          <w:b/>
        </w:rPr>
        <w:t>%</w:t>
      </w:r>
      <w:r>
        <w:t xml:space="preserve"> evidované docházky: prezenčně ve třídě / výukové místnosti nebo </w:t>
      </w:r>
      <w:r w:rsidR="00012FEB">
        <w:t>prostřednictvím</w:t>
      </w:r>
      <w:r w:rsidR="007C31B9">
        <w:t> </w:t>
      </w:r>
      <w:r>
        <w:t>on-line platform</w:t>
      </w:r>
      <w:r w:rsidR="00012FEB">
        <w:t>y</w:t>
      </w:r>
      <w:r w:rsidR="002211C2">
        <w:t>.</w:t>
      </w:r>
    </w:p>
    <w:p w14:paraId="60F18DA5" w14:textId="77777777" w:rsidR="001D640F" w:rsidRPr="003E21F8" w:rsidRDefault="001D640F" w:rsidP="001D640F">
      <w:pPr>
        <w:spacing w:after="120" w:line="240" w:lineRule="auto"/>
        <w:jc w:val="both"/>
        <w:rPr>
          <w:bCs/>
        </w:rPr>
      </w:pPr>
    </w:p>
    <w:p w14:paraId="73F77AEF" w14:textId="77777777" w:rsidR="003E21F8" w:rsidRPr="003E21F8" w:rsidRDefault="003E21F8" w:rsidP="003E21F8">
      <w:pPr>
        <w:spacing w:after="120" w:line="240" w:lineRule="auto"/>
        <w:jc w:val="both"/>
        <w:rPr>
          <w:b/>
          <w:color w:val="212529"/>
        </w:rPr>
      </w:pPr>
      <w:bookmarkStart w:id="3" w:name="_Hlk102723013"/>
      <w:r w:rsidRPr="003E21F8">
        <w:rPr>
          <w:b/>
          <w:color w:val="212529"/>
        </w:rPr>
        <w:t>Úspěšně složená zkouška znamená zvládnutí na 70 %.</w:t>
      </w:r>
    </w:p>
    <w:p w14:paraId="78341AC8" w14:textId="7F4C6A61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/>
          <w:color w:val="212529"/>
        </w:rPr>
        <w:t>Hodnot</w:t>
      </w:r>
      <w:r w:rsidR="00334F1B">
        <w:rPr>
          <w:b/>
          <w:color w:val="212529"/>
        </w:rPr>
        <w:t>i</w:t>
      </w:r>
      <w:r w:rsidRPr="003E21F8">
        <w:rPr>
          <w:b/>
          <w:color w:val="212529"/>
        </w:rPr>
        <w:t>cí komise:</w:t>
      </w:r>
      <w:r w:rsidRPr="003E21F8">
        <w:rPr>
          <w:bCs/>
          <w:color w:val="212529"/>
        </w:rPr>
        <w:t xml:space="preserve"> 3 členové (dle vyhlášky č. 176/2009 Sb.) – statutární zástupce vzdělávacího zařízení, garant kurzu, lektor kurzu</w:t>
      </w:r>
      <w:r w:rsidR="003352C1">
        <w:rPr>
          <w:bCs/>
          <w:color w:val="212529"/>
        </w:rPr>
        <w:t>.</w:t>
      </w:r>
    </w:p>
    <w:p w14:paraId="01F46385" w14:textId="77777777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/>
          <w:color w:val="212529"/>
        </w:rPr>
        <w:t>Archivace výsledků:</w:t>
      </w:r>
      <w:r w:rsidRPr="003E21F8">
        <w:rPr>
          <w:bCs/>
          <w:color w:val="212529"/>
        </w:rPr>
        <w:t xml:space="preserve"> výstup z písemné části + protokol o ústní části po dobu platnosti akreditace (pro potřeby kontroly ze strany MŠMT). Evidence vydaných osvědčení o rekvalifikaci po dobu existence vzdělávacího zařízení (pro potřeby vystavení duplikátů).</w:t>
      </w:r>
    </w:p>
    <w:p w14:paraId="179A9858" w14:textId="008642B3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Cs/>
          <w:color w:val="212529"/>
        </w:rPr>
        <w:t>Ústní část závěrečné zkoušky může být nahrávána a uložena v úložišti, které si</w:t>
      </w:r>
      <w:r w:rsidR="00334F1B">
        <w:rPr>
          <w:bCs/>
          <w:color w:val="212529"/>
        </w:rPr>
        <w:t xml:space="preserve"> vzdělávací zařízení</w:t>
      </w:r>
      <w:r w:rsidRPr="003E21F8">
        <w:rPr>
          <w:bCs/>
          <w:color w:val="212529"/>
        </w:rPr>
        <w:t xml:space="preserve"> zvolí.</w:t>
      </w:r>
    </w:p>
    <w:p w14:paraId="20D33633" w14:textId="25CD11E0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Cs/>
          <w:color w:val="212529"/>
        </w:rPr>
        <w:t xml:space="preserve">V případě kombinované nebo distanční formy </w:t>
      </w:r>
      <w:r w:rsidR="00334F1B">
        <w:rPr>
          <w:bCs/>
          <w:color w:val="212529"/>
        </w:rPr>
        <w:t xml:space="preserve">výuky </w:t>
      </w:r>
      <w:r w:rsidRPr="003E21F8">
        <w:rPr>
          <w:bCs/>
          <w:color w:val="212529"/>
        </w:rPr>
        <w:t>vzdělávání je nutné archivovat dokumentaci ke</w:t>
      </w:r>
      <w:r w:rsidR="00FD4246">
        <w:rPr>
          <w:bCs/>
          <w:color w:val="212529"/>
        </w:rPr>
        <w:t> </w:t>
      </w:r>
      <w:r w:rsidRPr="003E21F8">
        <w:rPr>
          <w:bCs/>
          <w:color w:val="212529"/>
        </w:rPr>
        <w:t xml:space="preserve">kurzu dle pokynů MŠMT uvedených </w:t>
      </w:r>
      <w:hyperlink r:id="rId10" w:history="1">
        <w:r w:rsidRPr="003E21F8">
          <w:rPr>
            <w:rStyle w:val="Hypertextovodkaz"/>
            <w:bCs/>
          </w:rPr>
          <w:t>zde</w:t>
        </w:r>
      </w:hyperlink>
      <w:r w:rsidR="003352C1">
        <w:rPr>
          <w:rStyle w:val="Hypertextovodkaz"/>
          <w:bCs/>
        </w:rPr>
        <w:t>.</w:t>
      </w:r>
      <w:r w:rsidRPr="003E21F8">
        <w:rPr>
          <w:bCs/>
          <w:color w:val="212529"/>
        </w:rPr>
        <w:t xml:space="preserve"> </w:t>
      </w:r>
    </w:p>
    <w:p w14:paraId="61D2FEEB" w14:textId="53C6D992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/>
          <w:color w:val="212529"/>
        </w:rPr>
        <w:t>Doklad o absolvování kurzu:</w:t>
      </w:r>
      <w:r w:rsidRPr="003E21F8">
        <w:rPr>
          <w:bCs/>
          <w:color w:val="212529"/>
        </w:rPr>
        <w:t xml:space="preserve"> Osvědčení o rekvalifikaci (dle vyhlášky č. 176/2009 Sb.)</w:t>
      </w:r>
      <w:r w:rsidR="003352C1">
        <w:rPr>
          <w:bCs/>
          <w:color w:val="212529"/>
        </w:rPr>
        <w:t>.</w:t>
      </w:r>
    </w:p>
    <w:p w14:paraId="2105E961" w14:textId="77777777" w:rsidR="000C056F" w:rsidRDefault="000C056F" w:rsidP="00950A25">
      <w:pPr>
        <w:spacing w:after="120" w:line="240" w:lineRule="auto"/>
        <w:jc w:val="both"/>
      </w:pPr>
    </w:p>
    <w:bookmarkEnd w:id="3"/>
    <w:p w14:paraId="674DE499" w14:textId="77777777" w:rsidR="00353A8D" w:rsidRDefault="00353A8D" w:rsidP="00950A25">
      <w:pPr>
        <w:spacing w:after="120" w:line="240" w:lineRule="auto"/>
        <w:jc w:val="both"/>
        <w:rPr>
          <w:b/>
          <w:color w:val="FF0000"/>
        </w:rPr>
      </w:pPr>
      <w:r>
        <w:rPr>
          <w:b/>
        </w:rPr>
        <w:t>Požadavky na personální zajištění</w:t>
      </w:r>
      <w:r>
        <w:t xml:space="preserve">: </w:t>
      </w:r>
    </w:p>
    <w:p w14:paraId="3247B1FA" w14:textId="0099D489" w:rsidR="00353A8D" w:rsidRDefault="00353A8D" w:rsidP="00950A25">
      <w:pPr>
        <w:spacing w:after="120" w:line="240" w:lineRule="auto"/>
        <w:jc w:val="both"/>
      </w:pPr>
      <w:bookmarkStart w:id="4" w:name="_Hlk102723069"/>
      <w:r>
        <w:t xml:space="preserve">Vzdělávací </w:t>
      </w:r>
      <w:r w:rsidR="003E21F8">
        <w:t>zařízení</w:t>
      </w:r>
      <w:r>
        <w:t xml:space="preserve"> </w:t>
      </w:r>
      <w:proofErr w:type="gramStart"/>
      <w:r w:rsidR="00DA26EB">
        <w:t>doloží</w:t>
      </w:r>
      <w:proofErr w:type="gramEnd"/>
      <w:r w:rsidR="00DA26EB">
        <w:t xml:space="preserve"> </w:t>
      </w:r>
      <w:r>
        <w:t>jmenný seznam lektorů a garant</w:t>
      </w:r>
      <w:r w:rsidR="00665359">
        <w:t>a</w:t>
      </w:r>
      <w:r>
        <w:t xml:space="preserve"> kurzu</w:t>
      </w:r>
      <w:r w:rsidR="00DA26EB" w:rsidRPr="003E21F8">
        <w:rPr>
          <w:bCs/>
          <w:color w:val="212529"/>
        </w:rPr>
        <w:t xml:space="preserve"> (dle vyhlášky č. 176/2009 Sb.)</w:t>
      </w:r>
      <w:r w:rsidR="00DA26EB">
        <w:rPr>
          <w:bCs/>
          <w:color w:val="212529"/>
        </w:rPr>
        <w:t>.</w:t>
      </w:r>
    </w:p>
    <w:bookmarkEnd w:id="4"/>
    <w:p w14:paraId="2999EF6C" w14:textId="77777777" w:rsidR="0088645C" w:rsidRDefault="0088645C" w:rsidP="002211C2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05D0BD52" w14:textId="5F6E6808" w:rsidR="00353A8D" w:rsidRPr="002211C2" w:rsidRDefault="00353A8D" w:rsidP="002211C2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211C2">
        <w:rPr>
          <w:b/>
          <w:color w:val="31849B"/>
          <w:sz w:val="24"/>
        </w:rPr>
        <w:t xml:space="preserve">Požadavky na materiální zajištění: </w:t>
      </w:r>
    </w:p>
    <w:p w14:paraId="33FBB1A8" w14:textId="546B722D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 </w:t>
      </w:r>
      <w:r w:rsidR="00334F1B">
        <w:t>Vzdělávací zařízení s</w:t>
      </w:r>
      <w:r>
        <w:t>e prokáže, že má k dispozici:</w:t>
      </w:r>
    </w:p>
    <w:p w14:paraId="59DB3CB7" w14:textId="189811B2" w:rsidR="00353A8D" w:rsidRDefault="00353A8D" w:rsidP="002211C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2211C2">
        <w:rPr>
          <w:b/>
        </w:rPr>
        <w:t>zajištění pro prezenční výuku:</w:t>
      </w:r>
      <w:r>
        <w:t xml:space="preserve"> výukové místnosti, tabule, audiovizuální techniku pro</w:t>
      </w:r>
      <w:r w:rsidR="000C056F">
        <w:t> </w:t>
      </w:r>
      <w:r>
        <w:t xml:space="preserve">prezenční výuku </w:t>
      </w:r>
      <w:r w:rsidR="00BC3243">
        <w:t>apod.,</w:t>
      </w:r>
    </w:p>
    <w:p w14:paraId="4AB52BA5" w14:textId="24B826CC" w:rsidR="00353A8D" w:rsidRPr="002211C2" w:rsidRDefault="00353A8D" w:rsidP="002211C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2211C2">
        <w:rPr>
          <w:b/>
        </w:rPr>
        <w:t xml:space="preserve">zajištění pro </w:t>
      </w:r>
      <w:r w:rsidR="00665359">
        <w:rPr>
          <w:b/>
        </w:rPr>
        <w:t>distanční (</w:t>
      </w:r>
      <w:r w:rsidRPr="002211C2">
        <w:rPr>
          <w:b/>
        </w:rPr>
        <w:t>on-line</w:t>
      </w:r>
      <w:r w:rsidR="00665359">
        <w:rPr>
          <w:b/>
        </w:rPr>
        <w:t>)</w:t>
      </w:r>
      <w:r w:rsidRPr="002211C2">
        <w:rPr>
          <w:b/>
        </w:rPr>
        <w:t xml:space="preserve"> výuku</w:t>
      </w:r>
      <w:r>
        <w:t>: HW, SW, platformy, licence, on-line použitelné materiály, způsob sdílení</w:t>
      </w:r>
      <w:r w:rsidRPr="002211C2">
        <w:t>.</w:t>
      </w:r>
    </w:p>
    <w:p w14:paraId="4CA8AF25" w14:textId="77777777" w:rsidR="00353A8D" w:rsidRDefault="00353A8D" w:rsidP="00950A25">
      <w:pPr>
        <w:spacing w:after="120" w:line="240" w:lineRule="auto"/>
        <w:jc w:val="both"/>
      </w:pPr>
      <w:bookmarkStart w:id="5" w:name="_heading=h.gjdgxs" w:colFirst="0" w:colLast="0"/>
      <w:bookmarkEnd w:id="5"/>
    </w:p>
    <w:p w14:paraId="52DB27E3" w14:textId="77777777" w:rsidR="0092268D" w:rsidRPr="00353A8D" w:rsidRDefault="0092268D" w:rsidP="00950A25">
      <w:pPr>
        <w:spacing w:after="120" w:line="240" w:lineRule="auto"/>
      </w:pPr>
    </w:p>
    <w:sectPr w:rsidR="0092268D" w:rsidRPr="00353A8D" w:rsidSect="008C3CE3">
      <w:headerReference w:type="default" r:id="rId11"/>
      <w:footerReference w:type="default" r:id="rId12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94B0" w14:textId="77777777" w:rsidR="006B0313" w:rsidRDefault="006B0313" w:rsidP="001630AD">
      <w:pPr>
        <w:spacing w:after="0" w:line="240" w:lineRule="auto"/>
      </w:pPr>
      <w:r>
        <w:separator/>
      </w:r>
    </w:p>
  </w:endnote>
  <w:endnote w:type="continuationSeparator" w:id="0">
    <w:p w14:paraId="4B4BA1A8" w14:textId="77777777" w:rsidR="006B0313" w:rsidRDefault="006B0313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617686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597C31DE" w14:textId="0E8609B9" w:rsidR="00A10537" w:rsidRPr="00847A3D" w:rsidRDefault="00847A3D">
        <w:pPr>
          <w:pStyle w:val="Zpat"/>
          <w:jc w:val="right"/>
          <w:rPr>
            <w:rFonts w:ascii="Calibri" w:hAnsi="Calibri"/>
          </w:rPr>
        </w:pP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 xml:space="preserve"> PAGE  \* Arabic  \* MERGEFORMAT 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1</w:t>
        </w:r>
        <w:r>
          <w:rPr>
            <w:rFonts w:ascii="Calibri" w:hAnsi="Calibri"/>
          </w:rPr>
          <w:fldChar w:fldCharType="end"/>
        </w:r>
      </w:p>
    </w:sdtContent>
  </w:sdt>
  <w:p w14:paraId="05C32997" w14:textId="77678592" w:rsidR="001630AD" w:rsidRPr="00846FC1" w:rsidRDefault="001630AD" w:rsidP="008C3CE3">
    <w:pPr>
      <w:pStyle w:val="Zpat"/>
      <w:ind w:left="-426"/>
      <w:rPr>
        <w:color w:val="428D9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29FD" w14:textId="77777777" w:rsidR="006B0313" w:rsidRDefault="006B0313" w:rsidP="001630AD">
      <w:pPr>
        <w:spacing w:after="0" w:line="240" w:lineRule="auto"/>
      </w:pPr>
      <w:r>
        <w:separator/>
      </w:r>
    </w:p>
  </w:footnote>
  <w:footnote w:type="continuationSeparator" w:id="0">
    <w:p w14:paraId="45B99314" w14:textId="77777777" w:rsidR="006B0313" w:rsidRDefault="006B0313" w:rsidP="001630AD">
      <w:pPr>
        <w:spacing w:after="0" w:line="240" w:lineRule="auto"/>
      </w:pPr>
      <w:r>
        <w:continuationSeparator/>
      </w:r>
    </w:p>
  </w:footnote>
  <w:footnote w:id="1">
    <w:p w14:paraId="5A0D91F5" w14:textId="6C41A7FA" w:rsidR="007A2549" w:rsidRDefault="007A2549" w:rsidP="007A2549">
      <w:pPr>
        <w:pStyle w:val="Textpoznpodarou"/>
      </w:pPr>
      <w:r>
        <w:rPr>
          <w:rStyle w:val="Znakapoznpodarou"/>
        </w:rPr>
        <w:footnoteRef/>
      </w:r>
      <w:r>
        <w:t xml:space="preserve"> Druh zařízení vyberte. </w:t>
      </w:r>
      <w:r w:rsidR="004A7F0D">
        <w:t>P</w:t>
      </w:r>
      <w:r>
        <w:t xml:space="preserve">ředmět se bude jmenovat např. Základní ovládání </w:t>
      </w:r>
      <w:r w:rsidR="007A1508">
        <w:t>smartphone</w:t>
      </w:r>
      <w:r>
        <w:t>.</w:t>
      </w:r>
    </w:p>
  </w:footnote>
  <w:footnote w:id="2">
    <w:p w14:paraId="381B67EB" w14:textId="36135405" w:rsidR="004A7F0D" w:rsidRDefault="004A7F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 xml:space="preserve">Druh zařízení vyberte. </w:t>
      </w:r>
      <w:r>
        <w:t>P</w:t>
      </w:r>
      <w:r>
        <w:t xml:space="preserve">ředmět se bude jmenovat např. </w:t>
      </w:r>
      <w:r>
        <w:t>Využívání různých aplikací na</w:t>
      </w:r>
      <w:r>
        <w:t xml:space="preserve"> smartphone.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CD94" w14:textId="3613E84D" w:rsidR="00A10537" w:rsidRDefault="00A10537" w:rsidP="004D3D49">
    <w:pPr>
      <w:pStyle w:val="Zhlav"/>
      <w:jc w:val="center"/>
    </w:pPr>
  </w:p>
  <w:p w14:paraId="348E7FE3" w14:textId="49C805A1" w:rsidR="001630AD" w:rsidRDefault="00163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97A"/>
    <w:multiLevelType w:val="hybridMultilevel"/>
    <w:tmpl w:val="0FC41CF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C0CB2"/>
    <w:multiLevelType w:val="hybridMultilevel"/>
    <w:tmpl w:val="E782E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E13"/>
    <w:multiLevelType w:val="hybridMultilevel"/>
    <w:tmpl w:val="EF181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17B9"/>
    <w:multiLevelType w:val="hybridMultilevel"/>
    <w:tmpl w:val="B18A8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CC7"/>
    <w:multiLevelType w:val="hybridMultilevel"/>
    <w:tmpl w:val="E668B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5E5B"/>
    <w:multiLevelType w:val="hybridMultilevel"/>
    <w:tmpl w:val="4C408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4E1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0CD6"/>
    <w:multiLevelType w:val="hybridMultilevel"/>
    <w:tmpl w:val="A014C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2CB9"/>
    <w:multiLevelType w:val="hybridMultilevel"/>
    <w:tmpl w:val="FA4A82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A7"/>
    <w:multiLevelType w:val="hybridMultilevel"/>
    <w:tmpl w:val="3C1C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1C20"/>
    <w:multiLevelType w:val="hybridMultilevel"/>
    <w:tmpl w:val="6DD89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12C0"/>
    <w:multiLevelType w:val="hybridMultilevel"/>
    <w:tmpl w:val="42BEC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16D"/>
    <w:multiLevelType w:val="hybridMultilevel"/>
    <w:tmpl w:val="E362A7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50FFA"/>
    <w:multiLevelType w:val="hybridMultilevel"/>
    <w:tmpl w:val="CAC0C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64925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70A4"/>
    <w:multiLevelType w:val="hybridMultilevel"/>
    <w:tmpl w:val="22E4D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6E7B"/>
    <w:multiLevelType w:val="hybridMultilevel"/>
    <w:tmpl w:val="8D9AB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D3586"/>
    <w:multiLevelType w:val="hybridMultilevel"/>
    <w:tmpl w:val="AAD8C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CD26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i w:val="0"/>
        <w:color w:val="00B05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A514F"/>
    <w:multiLevelType w:val="hybridMultilevel"/>
    <w:tmpl w:val="22323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26792"/>
    <w:multiLevelType w:val="hybridMultilevel"/>
    <w:tmpl w:val="CC509D0A"/>
    <w:lvl w:ilvl="0" w:tplc="6D107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A524B"/>
    <w:multiLevelType w:val="hybridMultilevel"/>
    <w:tmpl w:val="989AC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50094">
    <w:abstractNumId w:val="16"/>
  </w:num>
  <w:num w:numId="2" w16cid:durableId="2101639926">
    <w:abstractNumId w:val="5"/>
  </w:num>
  <w:num w:numId="3" w16cid:durableId="1050768704">
    <w:abstractNumId w:val="15"/>
  </w:num>
  <w:num w:numId="4" w16cid:durableId="1485317520">
    <w:abstractNumId w:val="13"/>
  </w:num>
  <w:num w:numId="5" w16cid:durableId="1954239161">
    <w:abstractNumId w:val="3"/>
  </w:num>
  <w:num w:numId="6" w16cid:durableId="383215967">
    <w:abstractNumId w:val="2"/>
  </w:num>
  <w:num w:numId="7" w16cid:durableId="1787121058">
    <w:abstractNumId w:val="11"/>
  </w:num>
  <w:num w:numId="8" w16cid:durableId="1045762908">
    <w:abstractNumId w:val="8"/>
  </w:num>
  <w:num w:numId="9" w16cid:durableId="1795322297">
    <w:abstractNumId w:val="4"/>
  </w:num>
  <w:num w:numId="10" w16cid:durableId="413865141">
    <w:abstractNumId w:val="6"/>
  </w:num>
  <w:num w:numId="11" w16cid:durableId="629017131">
    <w:abstractNumId w:val="9"/>
  </w:num>
  <w:num w:numId="12" w16cid:durableId="36320859">
    <w:abstractNumId w:val="1"/>
  </w:num>
  <w:num w:numId="13" w16cid:durableId="2054621933">
    <w:abstractNumId w:val="12"/>
  </w:num>
  <w:num w:numId="14" w16cid:durableId="652101745">
    <w:abstractNumId w:val="17"/>
  </w:num>
  <w:num w:numId="15" w16cid:durableId="814448517">
    <w:abstractNumId w:val="0"/>
  </w:num>
  <w:num w:numId="16" w16cid:durableId="2132674353">
    <w:abstractNumId w:val="14"/>
  </w:num>
  <w:num w:numId="17" w16cid:durableId="860751572">
    <w:abstractNumId w:val="18"/>
  </w:num>
  <w:num w:numId="18" w16cid:durableId="785932777">
    <w:abstractNumId w:val="10"/>
  </w:num>
  <w:num w:numId="19" w16cid:durableId="186220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6092"/>
    <w:rsid w:val="00012FEB"/>
    <w:rsid w:val="0002047D"/>
    <w:rsid w:val="00027919"/>
    <w:rsid w:val="0003290A"/>
    <w:rsid w:val="000349F9"/>
    <w:rsid w:val="00034E46"/>
    <w:rsid w:val="000479C7"/>
    <w:rsid w:val="00063D45"/>
    <w:rsid w:val="00083E23"/>
    <w:rsid w:val="000A6474"/>
    <w:rsid w:val="000B13B6"/>
    <w:rsid w:val="000B309E"/>
    <w:rsid w:val="000C056F"/>
    <w:rsid w:val="000D28FF"/>
    <w:rsid w:val="000D5D86"/>
    <w:rsid w:val="000F4DB5"/>
    <w:rsid w:val="00154664"/>
    <w:rsid w:val="00157665"/>
    <w:rsid w:val="001630AD"/>
    <w:rsid w:val="001776E5"/>
    <w:rsid w:val="00192152"/>
    <w:rsid w:val="001970AC"/>
    <w:rsid w:val="00197CA5"/>
    <w:rsid w:val="001D640F"/>
    <w:rsid w:val="001E7E6D"/>
    <w:rsid w:val="001F2C10"/>
    <w:rsid w:val="002211C2"/>
    <w:rsid w:val="0022496D"/>
    <w:rsid w:val="00263AD4"/>
    <w:rsid w:val="00292131"/>
    <w:rsid w:val="002C7304"/>
    <w:rsid w:val="002D422B"/>
    <w:rsid w:val="002E41C3"/>
    <w:rsid w:val="002E666E"/>
    <w:rsid w:val="003025C2"/>
    <w:rsid w:val="00312446"/>
    <w:rsid w:val="00334F1B"/>
    <w:rsid w:val="003352C1"/>
    <w:rsid w:val="003417C8"/>
    <w:rsid w:val="00345ACF"/>
    <w:rsid w:val="00353A8D"/>
    <w:rsid w:val="00357406"/>
    <w:rsid w:val="00374D06"/>
    <w:rsid w:val="0037578C"/>
    <w:rsid w:val="00393E62"/>
    <w:rsid w:val="003B3F83"/>
    <w:rsid w:val="003D5688"/>
    <w:rsid w:val="003E21F8"/>
    <w:rsid w:val="0040695E"/>
    <w:rsid w:val="0042076C"/>
    <w:rsid w:val="00434960"/>
    <w:rsid w:val="0043582B"/>
    <w:rsid w:val="004369AF"/>
    <w:rsid w:val="00450379"/>
    <w:rsid w:val="004835B0"/>
    <w:rsid w:val="004A7F0D"/>
    <w:rsid w:val="004B03EC"/>
    <w:rsid w:val="004C1E89"/>
    <w:rsid w:val="004C2CD5"/>
    <w:rsid w:val="004D3D49"/>
    <w:rsid w:val="004D4873"/>
    <w:rsid w:val="004E3497"/>
    <w:rsid w:val="004F1208"/>
    <w:rsid w:val="004F41D1"/>
    <w:rsid w:val="0051299F"/>
    <w:rsid w:val="00514AF4"/>
    <w:rsid w:val="00555A04"/>
    <w:rsid w:val="0055610F"/>
    <w:rsid w:val="005646D6"/>
    <w:rsid w:val="005743A7"/>
    <w:rsid w:val="00596F34"/>
    <w:rsid w:val="005C3D88"/>
    <w:rsid w:val="005E2210"/>
    <w:rsid w:val="005E771D"/>
    <w:rsid w:val="005F424E"/>
    <w:rsid w:val="0061709A"/>
    <w:rsid w:val="006311ED"/>
    <w:rsid w:val="00642F7F"/>
    <w:rsid w:val="00645405"/>
    <w:rsid w:val="00653AEC"/>
    <w:rsid w:val="00653BC0"/>
    <w:rsid w:val="0066520E"/>
    <w:rsid w:val="00665359"/>
    <w:rsid w:val="00675A46"/>
    <w:rsid w:val="0069674D"/>
    <w:rsid w:val="006B0313"/>
    <w:rsid w:val="006B32AF"/>
    <w:rsid w:val="006B4426"/>
    <w:rsid w:val="006D13C8"/>
    <w:rsid w:val="006F1299"/>
    <w:rsid w:val="00700E1B"/>
    <w:rsid w:val="00701323"/>
    <w:rsid w:val="00725522"/>
    <w:rsid w:val="0072560E"/>
    <w:rsid w:val="00746130"/>
    <w:rsid w:val="007619EE"/>
    <w:rsid w:val="00765705"/>
    <w:rsid w:val="00770EA4"/>
    <w:rsid w:val="007729E7"/>
    <w:rsid w:val="007803C6"/>
    <w:rsid w:val="00787549"/>
    <w:rsid w:val="00791961"/>
    <w:rsid w:val="00794ABF"/>
    <w:rsid w:val="007A1508"/>
    <w:rsid w:val="007A2549"/>
    <w:rsid w:val="007C1AC4"/>
    <w:rsid w:val="007C31B9"/>
    <w:rsid w:val="008112A8"/>
    <w:rsid w:val="00846FC1"/>
    <w:rsid w:val="00847A3D"/>
    <w:rsid w:val="0087689B"/>
    <w:rsid w:val="0088645C"/>
    <w:rsid w:val="008B12FA"/>
    <w:rsid w:val="008C3CE3"/>
    <w:rsid w:val="008C3DA5"/>
    <w:rsid w:val="008E1F29"/>
    <w:rsid w:val="008E500C"/>
    <w:rsid w:val="0092268D"/>
    <w:rsid w:val="00927D1F"/>
    <w:rsid w:val="00932897"/>
    <w:rsid w:val="00950A25"/>
    <w:rsid w:val="0095695F"/>
    <w:rsid w:val="00964869"/>
    <w:rsid w:val="00972FA3"/>
    <w:rsid w:val="00995695"/>
    <w:rsid w:val="009A1460"/>
    <w:rsid w:val="009B7188"/>
    <w:rsid w:val="009B79EA"/>
    <w:rsid w:val="00A10537"/>
    <w:rsid w:val="00A37DD8"/>
    <w:rsid w:val="00A42B9C"/>
    <w:rsid w:val="00A478AE"/>
    <w:rsid w:val="00A56ACB"/>
    <w:rsid w:val="00A70ECC"/>
    <w:rsid w:val="00A71B5B"/>
    <w:rsid w:val="00A71E70"/>
    <w:rsid w:val="00A85229"/>
    <w:rsid w:val="00AA2451"/>
    <w:rsid w:val="00AC28A8"/>
    <w:rsid w:val="00AC5356"/>
    <w:rsid w:val="00AC5980"/>
    <w:rsid w:val="00AF6447"/>
    <w:rsid w:val="00B14E62"/>
    <w:rsid w:val="00B27CC9"/>
    <w:rsid w:val="00B3167A"/>
    <w:rsid w:val="00B44F3F"/>
    <w:rsid w:val="00B540CB"/>
    <w:rsid w:val="00B71E39"/>
    <w:rsid w:val="00B86639"/>
    <w:rsid w:val="00B86E99"/>
    <w:rsid w:val="00B9021C"/>
    <w:rsid w:val="00BB22CE"/>
    <w:rsid w:val="00BB77EC"/>
    <w:rsid w:val="00BC3243"/>
    <w:rsid w:val="00BC7F2A"/>
    <w:rsid w:val="00BD4F1A"/>
    <w:rsid w:val="00C2494E"/>
    <w:rsid w:val="00C62D27"/>
    <w:rsid w:val="00C6686C"/>
    <w:rsid w:val="00C823F9"/>
    <w:rsid w:val="00C83E95"/>
    <w:rsid w:val="00C86C68"/>
    <w:rsid w:val="00C91481"/>
    <w:rsid w:val="00CA1AD8"/>
    <w:rsid w:val="00CB6DFD"/>
    <w:rsid w:val="00CD0E5F"/>
    <w:rsid w:val="00CF4204"/>
    <w:rsid w:val="00D26B36"/>
    <w:rsid w:val="00D34F69"/>
    <w:rsid w:val="00D62C18"/>
    <w:rsid w:val="00D663CD"/>
    <w:rsid w:val="00D86535"/>
    <w:rsid w:val="00D9468D"/>
    <w:rsid w:val="00DA26EB"/>
    <w:rsid w:val="00DB5AFB"/>
    <w:rsid w:val="00DC04E5"/>
    <w:rsid w:val="00DF07E3"/>
    <w:rsid w:val="00E0041F"/>
    <w:rsid w:val="00E034EC"/>
    <w:rsid w:val="00E54B8B"/>
    <w:rsid w:val="00E564AD"/>
    <w:rsid w:val="00E67EF1"/>
    <w:rsid w:val="00E7676B"/>
    <w:rsid w:val="00EA666B"/>
    <w:rsid w:val="00EB65C5"/>
    <w:rsid w:val="00EB72BD"/>
    <w:rsid w:val="00EE33CD"/>
    <w:rsid w:val="00F0262F"/>
    <w:rsid w:val="00F07412"/>
    <w:rsid w:val="00F36BBA"/>
    <w:rsid w:val="00F42DF0"/>
    <w:rsid w:val="00F50862"/>
    <w:rsid w:val="00F545A9"/>
    <w:rsid w:val="00FB6D0E"/>
    <w:rsid w:val="00FB7A5F"/>
    <w:rsid w:val="00FD29BD"/>
    <w:rsid w:val="00FD4246"/>
    <w:rsid w:val="00FE18B2"/>
    <w:rsid w:val="00FE5BBE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6AB86"/>
  <w15:docId w15:val="{DC7FFE11-1131-4D1B-9248-6872846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53A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0A2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2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34960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29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29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29E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03E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0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dalsi-vzdelavani/rekvalifikace-distancni-formo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mt.cz/vzdelavani/dalsi-vzdelavani/rekvalifikace-distancni-form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mt.cz/vzdelavani/dalsi-vzdelavani/zadost-o-akreditaci-a-pokyny-k-vyplnen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CB19-E9B6-784E-B82B-75F17F1E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44</TotalTime>
  <Pages>2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Kaňková Marie</cp:lastModifiedBy>
  <cp:revision>5</cp:revision>
  <cp:lastPrinted>2021-03-05T08:18:00Z</cp:lastPrinted>
  <dcterms:created xsi:type="dcterms:W3CDTF">2023-04-13T11:48:00Z</dcterms:created>
  <dcterms:modified xsi:type="dcterms:W3CDTF">2023-04-13T12:44:00Z</dcterms:modified>
</cp:coreProperties>
</file>